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A30C88" w14:textId="77777777" w:rsidR="00601289" w:rsidRPr="005E23C0" w:rsidRDefault="00601289" w:rsidP="00E002F6">
      <w:pPr>
        <w:spacing w:after="200"/>
        <w:rPr>
          <w:rFonts w:ascii="Tahoma" w:hAnsi="Tahoma" w:cs="Tahoma"/>
        </w:rPr>
      </w:pPr>
    </w:p>
    <w:p w14:paraId="723BBBD6" w14:textId="385A7E77" w:rsidR="00E002F6" w:rsidRPr="005E23C0" w:rsidRDefault="00E002F6" w:rsidP="00E002F6">
      <w:pPr>
        <w:spacing w:after="200"/>
        <w:rPr>
          <w:rFonts w:ascii="Tahoma" w:hAnsi="Tahoma" w:cs="Tahoma"/>
        </w:rPr>
      </w:pPr>
      <w:r w:rsidRPr="005E23C0">
        <w:rPr>
          <w:rFonts w:ascii="Tahoma" w:hAnsi="Tahoma" w:cs="Tahoma"/>
        </w:rPr>
        <w:t>Melléklet a</w:t>
      </w:r>
      <w:r w:rsidR="005E23C0" w:rsidRPr="005E23C0">
        <w:rPr>
          <w:rFonts w:ascii="Tahoma" w:hAnsi="Tahoma" w:cs="Tahoma"/>
        </w:rPr>
        <w:t xml:space="preserve"> </w:t>
      </w:r>
      <w:r w:rsidR="00A0080C">
        <w:rPr>
          <w:rFonts w:ascii="Tahoma" w:hAnsi="Tahoma" w:cs="Tahoma"/>
        </w:rPr>
        <w:t>434</w:t>
      </w:r>
      <w:r w:rsidRPr="005E23C0">
        <w:rPr>
          <w:rFonts w:ascii="Tahoma" w:hAnsi="Tahoma" w:cs="Tahoma"/>
        </w:rPr>
        <w:t>/202</w:t>
      </w:r>
      <w:r w:rsidR="005E23C0" w:rsidRPr="005E23C0">
        <w:rPr>
          <w:rFonts w:ascii="Tahoma" w:hAnsi="Tahoma" w:cs="Tahoma"/>
        </w:rPr>
        <w:t>5</w:t>
      </w:r>
      <w:r w:rsidRPr="005E23C0">
        <w:rPr>
          <w:rFonts w:ascii="Tahoma" w:hAnsi="Tahoma" w:cs="Tahoma"/>
        </w:rPr>
        <w:t>. (</w:t>
      </w:r>
      <w:r w:rsidR="00A0080C">
        <w:rPr>
          <w:rFonts w:ascii="Tahoma" w:hAnsi="Tahoma" w:cs="Tahoma"/>
        </w:rPr>
        <w:t>XI.20.</w:t>
      </w:r>
      <w:bookmarkStart w:id="0" w:name="_GoBack"/>
      <w:bookmarkEnd w:id="0"/>
      <w:r w:rsidRPr="005E23C0">
        <w:rPr>
          <w:rFonts w:ascii="Tahoma" w:hAnsi="Tahoma" w:cs="Tahoma"/>
        </w:rPr>
        <w:t>) határozathoz:</w:t>
      </w:r>
    </w:p>
    <w:p w14:paraId="78A1FAB9" w14:textId="77777777" w:rsidR="00E002F6" w:rsidRPr="005E23C0" w:rsidRDefault="00E002F6" w:rsidP="00E002F6">
      <w:pPr>
        <w:spacing w:after="200"/>
        <w:rPr>
          <w:rFonts w:ascii="Tahoma" w:eastAsia="Calibri" w:hAnsi="Tahoma" w:cs="Tahoma"/>
          <w:b/>
          <w:lang w:eastAsia="en-US"/>
        </w:rPr>
      </w:pPr>
    </w:p>
    <w:p w14:paraId="791C8051" w14:textId="56C5F4E5" w:rsidR="00E002F6" w:rsidRPr="005E23C0" w:rsidRDefault="00E002F6" w:rsidP="00E002F6">
      <w:pPr>
        <w:spacing w:after="200"/>
        <w:jc w:val="center"/>
        <w:rPr>
          <w:rFonts w:ascii="Tahoma" w:eastAsia="Calibri" w:hAnsi="Tahoma" w:cs="Tahoma"/>
          <w:b/>
          <w:lang w:eastAsia="en-US"/>
        </w:rPr>
      </w:pPr>
      <w:r w:rsidRPr="005E23C0">
        <w:rPr>
          <w:rFonts w:ascii="Tahoma" w:eastAsia="Calibri" w:hAnsi="Tahoma" w:cs="Tahoma"/>
          <w:b/>
          <w:lang w:eastAsia="en-US"/>
        </w:rPr>
        <w:t>Veszprém Megyei Jogú Város Önkormányzata 202</w:t>
      </w:r>
      <w:r w:rsidR="009D7BB2" w:rsidRPr="005E23C0">
        <w:rPr>
          <w:rFonts w:ascii="Tahoma" w:eastAsia="Calibri" w:hAnsi="Tahoma" w:cs="Tahoma"/>
          <w:b/>
          <w:lang w:eastAsia="en-US"/>
        </w:rPr>
        <w:t>6</w:t>
      </w:r>
      <w:r w:rsidRPr="005E23C0">
        <w:rPr>
          <w:rFonts w:ascii="Tahoma" w:eastAsia="Calibri" w:hAnsi="Tahoma" w:cs="Tahoma"/>
          <w:b/>
          <w:lang w:eastAsia="en-US"/>
        </w:rPr>
        <w:t>. évi vagyongazdálkodási irányelveinek meghatározása</w:t>
      </w:r>
    </w:p>
    <w:p w14:paraId="5573A008" w14:textId="09E346AB" w:rsidR="00E002F6" w:rsidRPr="005E23C0" w:rsidRDefault="00E002F6" w:rsidP="00E002F6">
      <w:pPr>
        <w:jc w:val="both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t>A 202</w:t>
      </w:r>
      <w:r w:rsidR="009D7BB2" w:rsidRPr="005E23C0">
        <w:rPr>
          <w:rFonts w:ascii="Tahoma" w:hAnsi="Tahoma" w:cs="Tahoma"/>
          <w:sz w:val="22"/>
          <w:szCs w:val="22"/>
        </w:rPr>
        <w:t>6</w:t>
      </w:r>
      <w:r w:rsidRPr="005E23C0">
        <w:rPr>
          <w:rFonts w:ascii="Tahoma" w:hAnsi="Tahoma" w:cs="Tahoma"/>
          <w:sz w:val="22"/>
          <w:szCs w:val="22"/>
        </w:rPr>
        <w:t>. évi vagyongazdálkodási irányelvek meghatározására jelentős hatással van</w:t>
      </w:r>
      <w:r w:rsidR="005E23C0" w:rsidRPr="005E23C0">
        <w:rPr>
          <w:rFonts w:ascii="Tahoma" w:hAnsi="Tahoma" w:cs="Tahoma"/>
          <w:sz w:val="22"/>
          <w:szCs w:val="22"/>
        </w:rPr>
        <w:t xml:space="preserve"> az ingatlanpiaci klíma, amely az utóbbi időszakban egy jelenős drágulásban is jelentkező túlfűtöttségben van a lakásingatlanok területén, amíg</w:t>
      </w:r>
      <w:r w:rsidRPr="005E23C0">
        <w:rPr>
          <w:rFonts w:ascii="Tahoma" w:hAnsi="Tahoma" w:cs="Tahoma"/>
          <w:sz w:val="22"/>
          <w:szCs w:val="22"/>
        </w:rPr>
        <w:t xml:space="preserve"> </w:t>
      </w:r>
      <w:r w:rsidR="005E23C0" w:rsidRPr="005E23C0">
        <w:rPr>
          <w:rFonts w:ascii="Tahoma" w:hAnsi="Tahoma" w:cs="Tahoma"/>
          <w:sz w:val="22"/>
          <w:szCs w:val="22"/>
        </w:rPr>
        <w:t xml:space="preserve">másrészről az is kijelenthető, hogy a befektetési céllal kevésbé jellemezhető piaci szegmensben alacsony érdeklődés tapasztalható. </w:t>
      </w:r>
    </w:p>
    <w:p w14:paraId="4FCF2F71" w14:textId="77777777" w:rsidR="00E002F6" w:rsidRPr="005E23C0" w:rsidRDefault="00E002F6" w:rsidP="00E002F6">
      <w:pPr>
        <w:jc w:val="both"/>
        <w:rPr>
          <w:rFonts w:ascii="Tahoma" w:hAnsi="Tahoma" w:cs="Tahoma"/>
          <w:sz w:val="22"/>
          <w:szCs w:val="22"/>
        </w:rPr>
      </w:pPr>
    </w:p>
    <w:p w14:paraId="5A5BE867" w14:textId="77777777" w:rsidR="00E002F6" w:rsidRPr="005E23C0" w:rsidRDefault="00E002F6" w:rsidP="00E002F6">
      <w:pPr>
        <w:rPr>
          <w:rFonts w:ascii="Tahoma" w:hAnsi="Tahoma" w:cs="Tahoma"/>
          <w:b/>
        </w:rPr>
      </w:pPr>
      <w:r w:rsidRPr="005E23C0">
        <w:rPr>
          <w:rFonts w:ascii="Tahoma" w:hAnsi="Tahoma" w:cs="Tahoma"/>
          <w:b/>
        </w:rPr>
        <w:t>I. Vagyongazdálkodási irányelveket meghatározó jogszabályok</w:t>
      </w:r>
    </w:p>
    <w:p w14:paraId="12EF95E8" w14:textId="77777777" w:rsidR="00E002F6" w:rsidRPr="005E23C0" w:rsidRDefault="00E002F6" w:rsidP="00E002F6">
      <w:pPr>
        <w:ind w:left="360"/>
        <w:rPr>
          <w:rFonts w:ascii="Tahoma" w:hAnsi="Tahoma" w:cs="Tahoma"/>
          <w:b/>
          <w:sz w:val="22"/>
          <w:szCs w:val="22"/>
        </w:rPr>
      </w:pPr>
    </w:p>
    <w:p w14:paraId="0C569AA2" w14:textId="77777777" w:rsidR="00E002F6" w:rsidRPr="005E23C0" w:rsidRDefault="00E002F6" w:rsidP="00E002F6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rFonts w:ascii="Tahoma" w:hAnsi="Tahoma" w:cs="Tahoma"/>
          <w:bCs/>
          <w:sz w:val="22"/>
          <w:szCs w:val="22"/>
        </w:rPr>
      </w:pPr>
      <w:r w:rsidRPr="005E23C0">
        <w:rPr>
          <w:rFonts w:ascii="Tahoma" w:hAnsi="Tahoma" w:cs="Tahoma"/>
          <w:bCs/>
          <w:sz w:val="22"/>
          <w:szCs w:val="22"/>
        </w:rPr>
        <w:t xml:space="preserve">A nemzeti vagyonról szóló 2011. évi CXCVI. törvény (a továbbiakban: </w:t>
      </w:r>
      <w:proofErr w:type="spellStart"/>
      <w:r w:rsidRPr="005E23C0">
        <w:rPr>
          <w:rFonts w:ascii="Tahoma" w:hAnsi="Tahoma" w:cs="Tahoma"/>
          <w:bCs/>
          <w:sz w:val="22"/>
          <w:szCs w:val="22"/>
        </w:rPr>
        <w:t>Nvt</w:t>
      </w:r>
      <w:proofErr w:type="spellEnd"/>
      <w:r w:rsidRPr="005E23C0">
        <w:rPr>
          <w:rFonts w:ascii="Tahoma" w:hAnsi="Tahoma" w:cs="Tahoma"/>
          <w:bCs/>
          <w:sz w:val="22"/>
          <w:szCs w:val="22"/>
        </w:rPr>
        <w:t>.)</w:t>
      </w:r>
    </w:p>
    <w:p w14:paraId="7176F8EA" w14:textId="77777777" w:rsidR="00E002F6" w:rsidRPr="005E23C0" w:rsidRDefault="00E002F6" w:rsidP="00E002F6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rFonts w:ascii="Tahoma" w:hAnsi="Tahoma" w:cs="Tahoma"/>
          <w:bCs/>
          <w:sz w:val="22"/>
          <w:szCs w:val="22"/>
        </w:rPr>
      </w:pPr>
      <w:r w:rsidRPr="005E23C0">
        <w:rPr>
          <w:rFonts w:ascii="Tahoma" w:hAnsi="Tahoma" w:cs="Tahoma"/>
          <w:bCs/>
          <w:sz w:val="22"/>
          <w:szCs w:val="22"/>
        </w:rPr>
        <w:t>Magyarország helyi önkormányzatairól szóló 2011. évi CLXXXIX. törvény</w:t>
      </w:r>
    </w:p>
    <w:p w14:paraId="7C380E75" w14:textId="77777777" w:rsidR="00E002F6" w:rsidRPr="005E23C0" w:rsidRDefault="00E002F6" w:rsidP="00E002F6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t>Az egyes állami tulajdonban lévő vagyontárgyak önkormányzatok tulajdonába adásáról szóló 1991. évi XXXIII. törvény a helyi önkormányzatok tulajdonába kerülő vagyontárgyakról az önkormányzat tulajdonszerzésére vonatkozóan határoz meg előírásokat</w:t>
      </w:r>
    </w:p>
    <w:p w14:paraId="0D8F9C9D" w14:textId="77777777" w:rsidR="00E002F6" w:rsidRPr="005E23C0" w:rsidRDefault="00E002F6" w:rsidP="00E002F6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t xml:space="preserve"> Az államháztartásról szóló 2011. évi CXCV. törvény </w:t>
      </w:r>
    </w:p>
    <w:p w14:paraId="5977DB1F" w14:textId="77777777" w:rsidR="00E002F6" w:rsidRPr="005E23C0" w:rsidRDefault="00E002F6" w:rsidP="00E002F6">
      <w:pPr>
        <w:numPr>
          <w:ilvl w:val="0"/>
          <w:numId w:val="23"/>
        </w:numPr>
        <w:autoSpaceDE w:val="0"/>
        <w:autoSpaceDN w:val="0"/>
        <w:adjustRightInd w:val="0"/>
        <w:spacing w:after="200"/>
        <w:contextualSpacing/>
        <w:jc w:val="both"/>
        <w:rPr>
          <w:rFonts w:ascii="Tahoma" w:hAnsi="Tahoma" w:cs="Tahoma"/>
          <w:sz w:val="22"/>
          <w:szCs w:val="22"/>
        </w:rPr>
      </w:pPr>
      <w:bookmarkStart w:id="1" w:name="_Hlk89357777"/>
      <w:r w:rsidRPr="005E23C0">
        <w:rPr>
          <w:rFonts w:ascii="Tahoma" w:hAnsi="Tahoma" w:cs="Tahoma"/>
          <w:sz w:val="22"/>
          <w:szCs w:val="22"/>
        </w:rPr>
        <w:t>A közbeszerzésekről szóló 2015. évi CXLIII. törvény</w:t>
      </w:r>
    </w:p>
    <w:p w14:paraId="661E14EB" w14:textId="77777777" w:rsidR="00E002F6" w:rsidRPr="005E23C0" w:rsidRDefault="00E002F6" w:rsidP="00E002F6">
      <w:pPr>
        <w:autoSpaceDE w:val="0"/>
        <w:autoSpaceDN w:val="0"/>
        <w:adjustRightInd w:val="0"/>
        <w:spacing w:after="200"/>
        <w:ind w:left="720"/>
        <w:contextualSpacing/>
        <w:jc w:val="both"/>
        <w:rPr>
          <w:rFonts w:ascii="Tahoma" w:hAnsi="Tahoma" w:cs="Tahoma"/>
          <w:sz w:val="22"/>
          <w:szCs w:val="22"/>
        </w:rPr>
      </w:pPr>
    </w:p>
    <w:p w14:paraId="2B15615A" w14:textId="77777777" w:rsidR="00E002F6" w:rsidRPr="005E23C0" w:rsidRDefault="00E002F6" w:rsidP="00E002F6">
      <w:pPr>
        <w:numPr>
          <w:ilvl w:val="0"/>
          <w:numId w:val="23"/>
        </w:numPr>
        <w:autoSpaceDE w:val="0"/>
        <w:autoSpaceDN w:val="0"/>
        <w:adjustRightInd w:val="0"/>
        <w:spacing w:after="200"/>
        <w:contextualSpacing/>
        <w:jc w:val="both"/>
        <w:rPr>
          <w:rFonts w:ascii="Tahoma" w:hAnsi="Tahoma" w:cs="Tahoma"/>
          <w:bCs/>
          <w:sz w:val="22"/>
          <w:szCs w:val="22"/>
        </w:rPr>
      </w:pPr>
      <w:r w:rsidRPr="005E23C0">
        <w:rPr>
          <w:rFonts w:ascii="Tahoma" w:hAnsi="Tahoma" w:cs="Tahoma"/>
          <w:bCs/>
          <w:sz w:val="22"/>
          <w:szCs w:val="22"/>
        </w:rPr>
        <w:t xml:space="preserve">Veszprém Megyei Jogú Város Önkormányzata Közgyűlésének az önkormányzat vagyonáról, a vagyongazdálkodás és vagyonhasznosítás szabályairól szóló 36/2021. (XI. 25.) önkormányzati rendelete </w:t>
      </w:r>
    </w:p>
    <w:p w14:paraId="6E447556" w14:textId="77777777" w:rsidR="00E002F6" w:rsidRPr="005E23C0" w:rsidRDefault="00E002F6" w:rsidP="00E002F6">
      <w:pPr>
        <w:autoSpaceDE w:val="0"/>
        <w:autoSpaceDN w:val="0"/>
        <w:adjustRightInd w:val="0"/>
        <w:spacing w:after="200"/>
        <w:contextualSpacing/>
        <w:jc w:val="both"/>
        <w:rPr>
          <w:rFonts w:ascii="Tahoma" w:hAnsi="Tahoma" w:cs="Tahoma"/>
          <w:bCs/>
          <w:sz w:val="22"/>
          <w:szCs w:val="22"/>
        </w:rPr>
      </w:pPr>
    </w:p>
    <w:p w14:paraId="5356548F" w14:textId="6F1AD59A" w:rsidR="00E002F6" w:rsidRPr="005E23C0" w:rsidRDefault="00E002F6" w:rsidP="00E002F6">
      <w:pPr>
        <w:numPr>
          <w:ilvl w:val="0"/>
          <w:numId w:val="23"/>
        </w:numPr>
        <w:autoSpaceDE w:val="0"/>
        <w:autoSpaceDN w:val="0"/>
        <w:adjustRightInd w:val="0"/>
        <w:spacing w:after="200"/>
        <w:contextualSpacing/>
        <w:jc w:val="both"/>
        <w:rPr>
          <w:rFonts w:ascii="Tahoma" w:hAnsi="Tahoma" w:cs="Tahoma"/>
          <w:bCs/>
          <w:sz w:val="22"/>
          <w:szCs w:val="22"/>
        </w:rPr>
      </w:pPr>
      <w:r w:rsidRPr="005E23C0">
        <w:rPr>
          <w:rFonts w:ascii="Tahoma" w:hAnsi="Tahoma" w:cs="Tahoma"/>
          <w:bCs/>
          <w:sz w:val="22"/>
          <w:szCs w:val="22"/>
        </w:rPr>
        <w:t>Veszprém Megyei Jogú Város Önkormányzat</w:t>
      </w:r>
      <w:r w:rsidR="00F55791">
        <w:rPr>
          <w:rFonts w:ascii="Tahoma" w:hAnsi="Tahoma" w:cs="Tahoma"/>
          <w:bCs/>
          <w:sz w:val="22"/>
          <w:szCs w:val="22"/>
        </w:rPr>
        <w:t>a</w:t>
      </w:r>
      <w:r w:rsidRPr="005E23C0">
        <w:rPr>
          <w:rFonts w:ascii="Tahoma" w:hAnsi="Tahoma" w:cs="Tahoma"/>
          <w:bCs/>
          <w:sz w:val="22"/>
          <w:szCs w:val="22"/>
        </w:rPr>
        <w:t xml:space="preserve"> Közgyűlésének az Önkormányzat Szervezeti és Működési Szabályzatáról szóló 24/2024. (X. 10.) önkormányzati rendelete </w:t>
      </w:r>
    </w:p>
    <w:p w14:paraId="31F6D694" w14:textId="77777777" w:rsidR="00E002F6" w:rsidRPr="005E23C0" w:rsidRDefault="00E002F6" w:rsidP="00E002F6">
      <w:pPr>
        <w:autoSpaceDE w:val="0"/>
        <w:autoSpaceDN w:val="0"/>
        <w:adjustRightInd w:val="0"/>
        <w:spacing w:after="200"/>
        <w:contextualSpacing/>
        <w:jc w:val="both"/>
        <w:rPr>
          <w:rFonts w:ascii="Tahoma" w:hAnsi="Tahoma" w:cs="Tahoma"/>
          <w:bCs/>
          <w:sz w:val="22"/>
          <w:szCs w:val="22"/>
        </w:rPr>
      </w:pPr>
    </w:p>
    <w:p w14:paraId="6592C36E" w14:textId="77777777" w:rsidR="00E002F6" w:rsidRPr="005E23C0" w:rsidRDefault="00E002F6" w:rsidP="00E002F6">
      <w:pPr>
        <w:numPr>
          <w:ilvl w:val="0"/>
          <w:numId w:val="23"/>
        </w:numPr>
        <w:autoSpaceDE w:val="0"/>
        <w:autoSpaceDN w:val="0"/>
        <w:adjustRightInd w:val="0"/>
        <w:spacing w:after="200"/>
        <w:contextualSpacing/>
        <w:jc w:val="both"/>
        <w:rPr>
          <w:rFonts w:ascii="Tahoma" w:hAnsi="Tahoma" w:cs="Tahoma"/>
          <w:bCs/>
          <w:sz w:val="22"/>
          <w:szCs w:val="22"/>
        </w:rPr>
      </w:pPr>
      <w:r w:rsidRPr="005E23C0">
        <w:rPr>
          <w:rFonts w:ascii="Tahoma" w:hAnsi="Tahoma" w:cs="Tahoma"/>
          <w:bCs/>
          <w:sz w:val="22"/>
          <w:szCs w:val="22"/>
        </w:rPr>
        <w:t>Veszprém Megyei Jogú Város Önkormányzata Közgyűlésének az Önkormányzat tulajdonában lévő lakások, helyiségek bérletéről és elidegenítéséről szóló 30/2023. (IX. 28.) önkormányzati rendelete</w:t>
      </w:r>
    </w:p>
    <w:bookmarkEnd w:id="1"/>
    <w:p w14:paraId="4A6040BB" w14:textId="77777777" w:rsidR="00E002F6" w:rsidRPr="005E23C0" w:rsidRDefault="00E002F6" w:rsidP="00E002F6">
      <w:pPr>
        <w:spacing w:after="200"/>
        <w:rPr>
          <w:rFonts w:ascii="Tahoma" w:hAnsi="Tahoma" w:cs="Tahoma"/>
          <w:b/>
          <w:bCs/>
        </w:rPr>
      </w:pPr>
    </w:p>
    <w:p w14:paraId="69A023BE" w14:textId="738159B9" w:rsidR="00E002F6" w:rsidRPr="005E23C0" w:rsidRDefault="00E002F6" w:rsidP="00E002F6">
      <w:pPr>
        <w:spacing w:after="200"/>
        <w:rPr>
          <w:rFonts w:ascii="Tahoma" w:hAnsi="Tahoma" w:cs="Tahoma"/>
          <w:bCs/>
        </w:rPr>
      </w:pPr>
      <w:r w:rsidRPr="005E23C0">
        <w:rPr>
          <w:rFonts w:ascii="Tahoma" w:hAnsi="Tahoma" w:cs="Tahoma"/>
          <w:b/>
          <w:bCs/>
        </w:rPr>
        <w:t>II. Általános irányelvek a vagyongazdálkodás terül</w:t>
      </w:r>
      <w:r w:rsidR="00F55791">
        <w:rPr>
          <w:rFonts w:ascii="Tahoma" w:hAnsi="Tahoma" w:cs="Tahoma"/>
          <w:b/>
          <w:bCs/>
        </w:rPr>
        <w:t>e</w:t>
      </w:r>
      <w:r w:rsidRPr="005E23C0">
        <w:rPr>
          <w:rFonts w:ascii="Tahoma" w:hAnsi="Tahoma" w:cs="Tahoma"/>
          <w:b/>
          <w:bCs/>
        </w:rPr>
        <w:t>tén</w:t>
      </w:r>
    </w:p>
    <w:p w14:paraId="3F8819BF" w14:textId="77777777" w:rsidR="00E002F6" w:rsidRPr="005E23C0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bCs/>
          <w:sz w:val="22"/>
          <w:szCs w:val="22"/>
        </w:rPr>
      </w:pPr>
    </w:p>
    <w:p w14:paraId="6350998A" w14:textId="77777777" w:rsidR="00E002F6" w:rsidRPr="005E23C0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bCs/>
          <w:sz w:val="22"/>
          <w:szCs w:val="22"/>
        </w:rPr>
      </w:pPr>
      <w:r w:rsidRPr="005E23C0">
        <w:rPr>
          <w:rFonts w:ascii="Tahoma" w:hAnsi="Tahoma" w:cs="Tahoma"/>
          <w:bCs/>
          <w:sz w:val="22"/>
          <w:szCs w:val="22"/>
        </w:rPr>
        <w:t xml:space="preserve">Az </w:t>
      </w:r>
      <w:proofErr w:type="spellStart"/>
      <w:r w:rsidRPr="005E23C0">
        <w:rPr>
          <w:rFonts w:ascii="Tahoma" w:hAnsi="Tahoma" w:cs="Tahoma"/>
          <w:bCs/>
          <w:sz w:val="22"/>
          <w:szCs w:val="22"/>
        </w:rPr>
        <w:t>Nvt</w:t>
      </w:r>
      <w:proofErr w:type="spellEnd"/>
      <w:r w:rsidRPr="005E23C0">
        <w:rPr>
          <w:rFonts w:ascii="Tahoma" w:hAnsi="Tahoma" w:cs="Tahoma"/>
          <w:bCs/>
          <w:sz w:val="22"/>
          <w:szCs w:val="22"/>
        </w:rPr>
        <w:t>. 7. § (1) bekezdése rögzíti, hogy „</w:t>
      </w:r>
      <w:r w:rsidRPr="005E23C0">
        <w:rPr>
          <w:rFonts w:ascii="Tahoma" w:hAnsi="Tahoma" w:cs="Tahoma"/>
          <w:bCs/>
          <w:i/>
          <w:sz w:val="22"/>
          <w:szCs w:val="22"/>
        </w:rPr>
        <w:t>A nemzeti vagyon alapvető rendeltetése a közfeladat ellátásának biztosítása. A nemzeti vagyonnal felelős módon, rendeltetésszerűen kell gazdálkodni”.</w:t>
      </w:r>
      <w:r w:rsidRPr="005E23C0">
        <w:rPr>
          <w:rFonts w:ascii="Tahoma" w:hAnsi="Tahoma" w:cs="Tahoma"/>
          <w:bCs/>
          <w:sz w:val="22"/>
          <w:szCs w:val="22"/>
        </w:rPr>
        <w:t xml:space="preserve"> </w:t>
      </w:r>
    </w:p>
    <w:p w14:paraId="261F2537" w14:textId="77777777" w:rsidR="00E002F6" w:rsidRPr="005E23C0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bCs/>
          <w:sz w:val="22"/>
          <w:szCs w:val="22"/>
        </w:rPr>
      </w:pPr>
      <w:r w:rsidRPr="005E23C0">
        <w:rPr>
          <w:rFonts w:ascii="Tahoma" w:hAnsi="Tahoma" w:cs="Tahoma"/>
          <w:bCs/>
          <w:sz w:val="22"/>
          <w:szCs w:val="22"/>
        </w:rPr>
        <w:t xml:space="preserve">A korlátozottan forgalomképes és forgalomképtelen ingatlanállomány értékmegőrző fejlesztése a közszolgáltatások minőségi megújításának egyik fontos eszköze, ezért a fizikai megújításra a külső támogatási források bevonásával a jövőben is minden lehetőséget meg kell ragadni. </w:t>
      </w:r>
    </w:p>
    <w:p w14:paraId="13E37FE8" w14:textId="77777777" w:rsidR="00E002F6" w:rsidRPr="005E23C0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bCs/>
          <w:sz w:val="22"/>
          <w:szCs w:val="22"/>
        </w:rPr>
      </w:pPr>
    </w:p>
    <w:p w14:paraId="19AEA15A" w14:textId="77777777" w:rsidR="00E002F6" w:rsidRPr="005E23C0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bCs/>
          <w:sz w:val="22"/>
          <w:szCs w:val="22"/>
        </w:rPr>
      </w:pPr>
      <w:r w:rsidRPr="005E23C0">
        <w:rPr>
          <w:rFonts w:ascii="Tahoma" w:hAnsi="Tahoma" w:cs="Tahoma"/>
          <w:bCs/>
          <w:sz w:val="22"/>
          <w:szCs w:val="22"/>
        </w:rPr>
        <w:t>Veszprém Megyei Jogú Város Önkormányzata vagyongazdálkodási tervében foglaltak alapján meghatározott irányelvek:</w:t>
      </w:r>
    </w:p>
    <w:p w14:paraId="5B70CAC4" w14:textId="77777777" w:rsidR="00E002F6" w:rsidRPr="005E23C0" w:rsidRDefault="00E002F6" w:rsidP="00E002F6">
      <w:pPr>
        <w:numPr>
          <w:ilvl w:val="0"/>
          <w:numId w:val="4"/>
        </w:numPr>
        <w:autoSpaceDE w:val="0"/>
        <w:autoSpaceDN w:val="0"/>
        <w:adjustRightInd w:val="0"/>
        <w:spacing w:after="200"/>
        <w:jc w:val="both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lastRenderedPageBreak/>
        <w:t>A vagyongazdálkodás célja és alapvető feladata az Önkormányzat kötelező és önként vállalt feladatai eredményes ellátásának az elősegítése.</w:t>
      </w:r>
    </w:p>
    <w:p w14:paraId="111FAF93" w14:textId="77777777" w:rsidR="00E002F6" w:rsidRPr="005E23C0" w:rsidRDefault="00E002F6" w:rsidP="00E002F6">
      <w:pPr>
        <w:numPr>
          <w:ilvl w:val="0"/>
          <w:numId w:val="4"/>
        </w:numPr>
        <w:autoSpaceDE w:val="0"/>
        <w:autoSpaceDN w:val="0"/>
        <w:adjustRightInd w:val="0"/>
        <w:spacing w:after="200"/>
        <w:jc w:val="both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t>Az Önkormányzat kötelező feladatainak ellátásához optimális mértékű és minőségű vagyonelemeknek kell párosulniuk.</w:t>
      </w:r>
    </w:p>
    <w:p w14:paraId="079F633D" w14:textId="77777777" w:rsidR="00E002F6" w:rsidRPr="005E23C0" w:rsidRDefault="00E002F6" w:rsidP="00E002F6">
      <w:pPr>
        <w:numPr>
          <w:ilvl w:val="0"/>
          <w:numId w:val="4"/>
        </w:numPr>
        <w:autoSpaceDE w:val="0"/>
        <w:autoSpaceDN w:val="0"/>
        <w:adjustRightInd w:val="0"/>
        <w:spacing w:after="200"/>
        <w:jc w:val="both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t>A vagyon felélésével és értékesítésével szemben a vagyonérték megőrzését és gyarapítását kell előtérbe állítani a beruházási tevékenységen keresztül.</w:t>
      </w:r>
    </w:p>
    <w:p w14:paraId="08AEBD8E" w14:textId="77777777" w:rsidR="00E002F6" w:rsidRPr="005E23C0" w:rsidRDefault="00E002F6" w:rsidP="00E002F6">
      <w:pPr>
        <w:numPr>
          <w:ilvl w:val="0"/>
          <w:numId w:val="4"/>
        </w:numPr>
        <w:autoSpaceDE w:val="0"/>
        <w:autoSpaceDN w:val="0"/>
        <w:adjustRightInd w:val="0"/>
        <w:spacing w:after="200"/>
        <w:jc w:val="both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t>Az önkormányzati vagyonnal, ingatlanokkal történő gazdálkodásnak jogszabályoknak megfelelőnek, átláthatónak és ellenőrizhetőnek kell lennie.</w:t>
      </w:r>
    </w:p>
    <w:p w14:paraId="32AAB260" w14:textId="77777777" w:rsidR="00E002F6" w:rsidRPr="005E23C0" w:rsidRDefault="00E002F6" w:rsidP="00E002F6">
      <w:pPr>
        <w:numPr>
          <w:ilvl w:val="0"/>
          <w:numId w:val="4"/>
        </w:numPr>
        <w:autoSpaceDE w:val="0"/>
        <w:autoSpaceDN w:val="0"/>
        <w:adjustRightInd w:val="0"/>
        <w:spacing w:after="200"/>
        <w:jc w:val="both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t>Az ingatlanvagyon hasznosítását az Önkormányzat stratégiájának alárendelten a kiszolgált szakmai funkciók mellett gazdaságossági és műszaki paraméterek alapján kell meghatározni.</w:t>
      </w:r>
    </w:p>
    <w:p w14:paraId="5989D2C8" w14:textId="77777777" w:rsidR="00E002F6" w:rsidRPr="005E23C0" w:rsidRDefault="00E002F6" w:rsidP="00E002F6">
      <w:pPr>
        <w:numPr>
          <w:ilvl w:val="0"/>
          <w:numId w:val="4"/>
        </w:numPr>
        <w:autoSpaceDE w:val="0"/>
        <w:autoSpaceDN w:val="0"/>
        <w:adjustRightInd w:val="0"/>
        <w:spacing w:after="20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t>A tudatos gazdálkodás keretében a cél olyan ingatlanvagyon-portfólió kialakítása, amely a stratégiai célokhoz illeszkedik, és egyaránt figyelemmel van az értékesítési lehetőségekre, a vagyonbővítési célokhoz illeszkedő igényekre, valamint a meglévő állomány hatékony kezelésére, működtetésére.</w:t>
      </w:r>
    </w:p>
    <w:p w14:paraId="17682E8E" w14:textId="77777777" w:rsidR="00E002F6" w:rsidRPr="005E23C0" w:rsidRDefault="00E002F6" w:rsidP="00E002F6">
      <w:pPr>
        <w:numPr>
          <w:ilvl w:val="0"/>
          <w:numId w:val="4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200"/>
        <w:ind w:left="0" w:firstLine="426"/>
        <w:rPr>
          <w:rFonts w:ascii="Tahoma" w:hAnsi="Tahoma" w:cs="Tahoma"/>
          <w:b/>
          <w:bCs/>
        </w:rPr>
      </w:pPr>
      <w:r w:rsidRPr="005E23C0">
        <w:rPr>
          <w:rFonts w:ascii="Tahoma" w:hAnsi="Tahoma" w:cs="Tahoma"/>
          <w:sz w:val="22"/>
          <w:szCs w:val="22"/>
        </w:rPr>
        <w:t>Az ingatlanvagyon-kataszter vezetésének, folyamatos aktualizálásának szükségessége.</w:t>
      </w:r>
    </w:p>
    <w:p w14:paraId="12CEC6A5" w14:textId="77777777" w:rsidR="00E002F6" w:rsidRPr="005E23C0" w:rsidRDefault="00E002F6" w:rsidP="00E002F6">
      <w:pPr>
        <w:autoSpaceDE w:val="0"/>
        <w:autoSpaceDN w:val="0"/>
        <w:adjustRightInd w:val="0"/>
        <w:spacing w:after="200"/>
        <w:rPr>
          <w:rFonts w:ascii="Tahoma" w:hAnsi="Tahoma" w:cs="Tahoma"/>
          <w:b/>
          <w:bCs/>
        </w:rPr>
      </w:pPr>
    </w:p>
    <w:p w14:paraId="21A75F3E" w14:textId="77777777" w:rsidR="00E002F6" w:rsidRPr="005E23C0" w:rsidRDefault="00E002F6" w:rsidP="00E002F6">
      <w:pPr>
        <w:autoSpaceDE w:val="0"/>
        <w:autoSpaceDN w:val="0"/>
        <w:adjustRightInd w:val="0"/>
        <w:spacing w:after="200"/>
        <w:rPr>
          <w:rFonts w:ascii="Tahoma" w:hAnsi="Tahoma" w:cs="Tahoma"/>
          <w:b/>
          <w:bCs/>
        </w:rPr>
      </w:pPr>
      <w:r w:rsidRPr="005E23C0">
        <w:rPr>
          <w:rFonts w:ascii="Tahoma" w:hAnsi="Tahoma" w:cs="Tahoma"/>
          <w:b/>
          <w:bCs/>
        </w:rPr>
        <w:t>III. Vagyongazdálkodással érintett vagyoni csoportok bemutatása</w:t>
      </w:r>
    </w:p>
    <w:p w14:paraId="2CFD82F3" w14:textId="77777777" w:rsidR="00E002F6" w:rsidRPr="005E23C0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</w:p>
    <w:p w14:paraId="14956B50" w14:textId="77777777" w:rsidR="00E002F6" w:rsidRPr="005E23C0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5E23C0">
        <w:rPr>
          <w:rFonts w:ascii="Tahoma" w:hAnsi="Tahoma" w:cs="Tahoma"/>
          <w:b/>
          <w:bCs/>
          <w:i/>
        </w:rPr>
        <w:t xml:space="preserve">1. Az ingatlanvagyon gazdálkodás </w:t>
      </w:r>
    </w:p>
    <w:p w14:paraId="43429708" w14:textId="77777777" w:rsidR="00E002F6" w:rsidRPr="005E23C0" w:rsidRDefault="00E002F6" w:rsidP="00E002F6">
      <w:pPr>
        <w:autoSpaceDE w:val="0"/>
        <w:autoSpaceDN w:val="0"/>
        <w:adjustRightInd w:val="0"/>
        <w:ind w:left="360"/>
        <w:jc w:val="both"/>
        <w:rPr>
          <w:rFonts w:ascii="Tahoma" w:hAnsi="Tahoma" w:cs="Tahoma"/>
          <w:bCs/>
          <w:u w:val="single"/>
        </w:rPr>
      </w:pPr>
    </w:p>
    <w:p w14:paraId="6CA8E5DF" w14:textId="77777777" w:rsidR="00E002F6" w:rsidRPr="005E23C0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bCs/>
          <w:u w:val="single"/>
        </w:rPr>
      </w:pPr>
      <w:r w:rsidRPr="005E23C0">
        <w:rPr>
          <w:rFonts w:ascii="Tahoma" w:hAnsi="Tahoma" w:cs="Tahoma"/>
          <w:bCs/>
          <w:u w:val="single"/>
        </w:rPr>
        <w:t>A makrogazdasági környezet és az ingatlanpiac aktuális helyzetének a bemutatása</w:t>
      </w:r>
      <w:r w:rsidRPr="005E23C0">
        <w:rPr>
          <w:rFonts w:ascii="Tahoma" w:hAnsi="Tahoma" w:cs="Tahoma"/>
          <w:bCs/>
          <w:u w:val="single"/>
          <w:vertAlign w:val="superscript"/>
        </w:rPr>
        <w:footnoteReference w:id="1"/>
      </w:r>
      <w:r w:rsidRPr="005E23C0">
        <w:rPr>
          <w:rFonts w:ascii="Tahoma" w:hAnsi="Tahoma" w:cs="Tahoma"/>
          <w:bCs/>
          <w:u w:val="single"/>
        </w:rPr>
        <w:t>:</w:t>
      </w:r>
    </w:p>
    <w:p w14:paraId="26877F4B" w14:textId="77777777" w:rsidR="00E002F6" w:rsidRPr="005E23C0" w:rsidRDefault="00E002F6" w:rsidP="00E002F6">
      <w:pPr>
        <w:spacing w:line="360" w:lineRule="atLeast"/>
        <w:textAlignment w:val="baseline"/>
        <w:rPr>
          <w:rFonts w:ascii="Tahoma" w:hAnsi="Tahoma" w:cs="Tahoma"/>
          <w:bCs/>
          <w:sz w:val="22"/>
          <w:szCs w:val="22"/>
        </w:rPr>
      </w:pPr>
    </w:p>
    <w:p w14:paraId="372B2DA6" w14:textId="2FDC14B9" w:rsidR="00E002F6" w:rsidRPr="005E23C0" w:rsidRDefault="00E002F6" w:rsidP="00E002F6">
      <w:pPr>
        <w:shd w:val="clear" w:color="auto" w:fill="FFFFFF"/>
        <w:spacing w:after="100" w:afterAutospacing="1"/>
        <w:jc w:val="both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t>A 202</w:t>
      </w:r>
      <w:r w:rsidR="001E223F" w:rsidRPr="005E23C0">
        <w:rPr>
          <w:rFonts w:ascii="Tahoma" w:hAnsi="Tahoma" w:cs="Tahoma"/>
          <w:sz w:val="22"/>
          <w:szCs w:val="22"/>
        </w:rPr>
        <w:t>5</w:t>
      </w:r>
      <w:r w:rsidR="0071773D" w:rsidRPr="005E23C0">
        <w:rPr>
          <w:rFonts w:ascii="Tahoma" w:hAnsi="Tahoma" w:cs="Tahoma"/>
          <w:sz w:val="22"/>
          <w:szCs w:val="22"/>
        </w:rPr>
        <w:t>.</w:t>
      </w:r>
      <w:r w:rsidRPr="005E23C0">
        <w:rPr>
          <w:rFonts w:ascii="Tahoma" w:hAnsi="Tahoma" w:cs="Tahoma"/>
          <w:sz w:val="22"/>
          <w:szCs w:val="22"/>
        </w:rPr>
        <w:t xml:space="preserve"> évben </w:t>
      </w:r>
      <w:r w:rsidR="001E223F" w:rsidRPr="005E23C0">
        <w:rPr>
          <w:rFonts w:ascii="Tahoma" w:hAnsi="Tahoma" w:cs="Tahoma"/>
          <w:sz w:val="22"/>
          <w:szCs w:val="22"/>
        </w:rPr>
        <w:t>stabilak voltak a lakáspiaci keresletet meghatározó makrogazdasági fundamentumok</w:t>
      </w:r>
      <w:r w:rsidR="000600A0" w:rsidRPr="005E23C0">
        <w:rPr>
          <w:rFonts w:ascii="Tahoma" w:hAnsi="Tahoma" w:cs="Tahoma"/>
          <w:sz w:val="22"/>
          <w:szCs w:val="22"/>
        </w:rPr>
        <w:t>,</w:t>
      </w:r>
      <w:r w:rsidR="001E223F" w:rsidRPr="005E23C0">
        <w:rPr>
          <w:rFonts w:ascii="Tahoma" w:hAnsi="Tahoma" w:cs="Tahoma"/>
          <w:sz w:val="22"/>
          <w:szCs w:val="22"/>
        </w:rPr>
        <w:t xml:space="preserve"> a foglalkoztatottság továbbra is </w:t>
      </w:r>
      <w:r w:rsidRPr="005E23C0">
        <w:rPr>
          <w:rFonts w:ascii="Tahoma" w:hAnsi="Tahoma" w:cs="Tahoma"/>
          <w:sz w:val="22"/>
          <w:szCs w:val="22"/>
        </w:rPr>
        <w:t xml:space="preserve">magas </w:t>
      </w:r>
      <w:r w:rsidR="001E223F" w:rsidRPr="005E23C0">
        <w:rPr>
          <w:rFonts w:ascii="Tahoma" w:hAnsi="Tahoma" w:cs="Tahoma"/>
          <w:sz w:val="22"/>
          <w:szCs w:val="22"/>
        </w:rPr>
        <w:t xml:space="preserve">szinten alakult, a versenyszférában a korábbi évekhez képest lassuló, de a reálbérek folytatódó emelkedése volt megfigyelhető. </w:t>
      </w:r>
    </w:p>
    <w:p w14:paraId="0102782C" w14:textId="77777777" w:rsidR="005E23C0" w:rsidRPr="005E23C0" w:rsidRDefault="005E23C0" w:rsidP="005E23C0">
      <w:pPr>
        <w:shd w:val="clear" w:color="auto" w:fill="FFFFFF"/>
        <w:spacing w:after="100" w:afterAutospacing="1"/>
        <w:jc w:val="both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t>2024 negyedik negyedévében Európai Uniós összehasonlításban is kimagasló ütemben, 15,1 százalékkal emelkedtek hazánkban a lakásárak éves szinten, mely reálértelemben 10,9 százalékos emelkedésnek felelt meg. 2025 első negyedévében országosan 15,0 százalékot, Budapesten pedig 19,2 százalékot ért el az éves lakásár-dinamika.</w:t>
      </w:r>
    </w:p>
    <w:p w14:paraId="54F220F7" w14:textId="25B2BDA9" w:rsidR="003F64B3" w:rsidRPr="005E23C0" w:rsidRDefault="003F64B3" w:rsidP="00E002F6">
      <w:pPr>
        <w:shd w:val="clear" w:color="auto" w:fill="FFFFFF"/>
        <w:spacing w:after="100" w:afterAutospacing="1"/>
        <w:jc w:val="both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t>A 2025</w:t>
      </w:r>
      <w:r w:rsidR="003B64AB" w:rsidRPr="005E23C0">
        <w:rPr>
          <w:rFonts w:ascii="Tahoma" w:hAnsi="Tahoma" w:cs="Tahoma"/>
          <w:sz w:val="22"/>
          <w:szCs w:val="22"/>
        </w:rPr>
        <w:t xml:space="preserve"> </w:t>
      </w:r>
      <w:r w:rsidRPr="005E23C0">
        <w:rPr>
          <w:rFonts w:ascii="Tahoma" w:hAnsi="Tahoma" w:cs="Tahoma"/>
          <w:sz w:val="22"/>
          <w:szCs w:val="22"/>
        </w:rPr>
        <w:t>első negyedévének ingatlanpiacát az áremelkedések és tranzakciós robbanás jellemezte,</w:t>
      </w:r>
      <w:r w:rsidR="00F231B5" w:rsidRPr="005E23C0">
        <w:rPr>
          <w:rFonts w:ascii="Tahoma" w:hAnsi="Tahoma" w:cs="Tahoma"/>
          <w:sz w:val="22"/>
          <w:szCs w:val="22"/>
        </w:rPr>
        <w:t xml:space="preserve"> amit az igénybe vehető otthonteremtési programok széles köre, valamint az állampapírpiacról érkező lakossági megtakarítások is fűtöttek.</w:t>
      </w:r>
    </w:p>
    <w:p w14:paraId="17EE2047" w14:textId="75210826" w:rsidR="007B6FE5" w:rsidRPr="005E23C0" w:rsidRDefault="00134A57" w:rsidP="007B6FE5">
      <w:pPr>
        <w:spacing w:after="160" w:line="259" w:lineRule="auto"/>
        <w:jc w:val="both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lastRenderedPageBreak/>
        <w:t>A lakáspiaci túlfűtöttség növekedésének irányába mutat, hogy</w:t>
      </w:r>
      <w:r w:rsidR="005E23C0" w:rsidRPr="005E23C0">
        <w:rPr>
          <w:rFonts w:ascii="Tahoma" w:hAnsi="Tahoma" w:cs="Tahoma"/>
          <w:sz w:val="22"/>
          <w:szCs w:val="22"/>
        </w:rPr>
        <w:t xml:space="preserve"> </w:t>
      </w:r>
      <w:r w:rsidRPr="005E23C0">
        <w:rPr>
          <w:rFonts w:ascii="Tahoma" w:hAnsi="Tahoma" w:cs="Tahoma"/>
          <w:sz w:val="22"/>
          <w:szCs w:val="22"/>
        </w:rPr>
        <w:t>a lakásárak a bérleti díjaknál, a jövedelmeknél és az építési költségeknél is gyorsabban emelkednek 2025 folyamán is. </w:t>
      </w:r>
    </w:p>
    <w:p w14:paraId="42306730" w14:textId="576AC460" w:rsidR="004770EA" w:rsidRPr="005E23C0" w:rsidRDefault="007B6FE5" w:rsidP="007B6FE5">
      <w:pPr>
        <w:spacing w:after="160" w:line="259" w:lineRule="auto"/>
        <w:jc w:val="both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t>A</w:t>
      </w:r>
      <w:r w:rsidR="004770EA" w:rsidRPr="005E23C0">
        <w:rPr>
          <w:rFonts w:ascii="Tahoma" w:hAnsi="Tahoma" w:cs="Tahoma"/>
          <w:sz w:val="22"/>
          <w:szCs w:val="22"/>
        </w:rPr>
        <w:t xml:space="preserve"> hazai lakásállomány éves megújulási rátája a</w:t>
      </w:r>
      <w:r w:rsidRPr="005E23C0">
        <w:rPr>
          <w:rFonts w:ascii="Tahoma" w:hAnsi="Tahoma" w:cs="Tahoma"/>
          <w:sz w:val="22"/>
          <w:szCs w:val="22"/>
        </w:rPr>
        <w:t>z utóbbi években a</w:t>
      </w:r>
      <w:r w:rsidR="004770EA" w:rsidRPr="005E23C0">
        <w:rPr>
          <w:rFonts w:ascii="Tahoma" w:hAnsi="Tahoma" w:cs="Tahoma"/>
          <w:sz w:val="22"/>
          <w:szCs w:val="22"/>
        </w:rPr>
        <w:t xml:space="preserve"> legalacsonyabb volt európai összevetésben, melyből némi előre mozdulást mutat, hogy 2025</w:t>
      </w:r>
      <w:r w:rsidR="003B64AB" w:rsidRPr="005E23C0">
        <w:rPr>
          <w:rFonts w:ascii="Tahoma" w:hAnsi="Tahoma" w:cs="Tahoma"/>
          <w:sz w:val="22"/>
          <w:szCs w:val="22"/>
        </w:rPr>
        <w:t xml:space="preserve"> </w:t>
      </w:r>
      <w:r w:rsidR="004770EA" w:rsidRPr="005E23C0">
        <w:rPr>
          <w:rFonts w:ascii="Tahoma" w:hAnsi="Tahoma" w:cs="Tahoma"/>
          <w:sz w:val="22"/>
          <w:szCs w:val="22"/>
        </w:rPr>
        <w:t>első negyedévének végén országosan 21,6 ezer új társasházi lakás állt építés alatt, mindez negyedéves szinten 19 százalékos bővülést jelent.</w:t>
      </w:r>
    </w:p>
    <w:p w14:paraId="40CA0A1E" w14:textId="25F7D264" w:rsidR="006366BA" w:rsidRDefault="006366BA" w:rsidP="006366BA">
      <w:pPr>
        <w:spacing w:after="160" w:line="259" w:lineRule="auto"/>
        <w:jc w:val="both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t>A fővárosi újlakások átlagos négyzetméterára 1,68 millió forintra emelkedett 2025 első negyedévének végére, mely tovább gyorsuló éves drágulást jelent</w:t>
      </w:r>
      <w:r w:rsidR="007B6FE5" w:rsidRPr="005E23C0">
        <w:rPr>
          <w:rFonts w:ascii="Tahoma" w:hAnsi="Tahoma" w:cs="Tahoma"/>
          <w:sz w:val="22"/>
          <w:szCs w:val="22"/>
        </w:rPr>
        <w:t>.</w:t>
      </w:r>
      <w:r w:rsidRPr="005E23C0">
        <w:rPr>
          <w:rFonts w:ascii="Tahoma" w:hAnsi="Tahoma" w:cs="Tahoma"/>
          <w:sz w:val="22"/>
          <w:szCs w:val="22"/>
        </w:rPr>
        <w:t xml:space="preserve"> </w:t>
      </w:r>
      <w:r w:rsidR="007B6FE5" w:rsidRPr="005E23C0">
        <w:rPr>
          <w:rFonts w:ascii="Tahoma" w:hAnsi="Tahoma" w:cs="Tahoma"/>
          <w:sz w:val="22"/>
          <w:szCs w:val="22"/>
        </w:rPr>
        <w:t>Az MNB becslései szerint 2024 végén országosan 14,3</w:t>
      </w:r>
      <w:r w:rsidR="00F55791">
        <w:rPr>
          <w:rFonts w:ascii="Tahoma" w:hAnsi="Tahoma" w:cs="Tahoma"/>
          <w:sz w:val="22"/>
          <w:szCs w:val="22"/>
        </w:rPr>
        <w:t xml:space="preserve"> </w:t>
      </w:r>
      <w:r w:rsidR="007B6FE5" w:rsidRPr="005E23C0">
        <w:rPr>
          <w:rFonts w:ascii="Tahoma" w:hAnsi="Tahoma" w:cs="Tahoma"/>
          <w:sz w:val="22"/>
          <w:szCs w:val="22"/>
        </w:rPr>
        <w:t>%-kal voltak túlértékeltek a lakások, vagyis ennyivel kerültek többe, mint amilyen árat a fundamentumok, azaz a lakáspiacot meghatározó fő tényezők indokoltak volna. A</w:t>
      </w:r>
      <w:r w:rsidRPr="005E23C0">
        <w:rPr>
          <w:rFonts w:ascii="Tahoma" w:hAnsi="Tahoma" w:cs="Tahoma"/>
          <w:sz w:val="22"/>
          <w:szCs w:val="22"/>
        </w:rPr>
        <w:t xml:space="preserve"> vidéki területeken az árnövekedés mérsékeltebb, de stabil ütemben folytatódott.</w:t>
      </w:r>
      <w:r w:rsidR="00AE30D7">
        <w:rPr>
          <w:rFonts w:ascii="Tahoma" w:hAnsi="Tahoma" w:cs="Tahoma"/>
          <w:sz w:val="22"/>
          <w:szCs w:val="22"/>
        </w:rPr>
        <w:t xml:space="preserve"> A vidéki nagyvárosok sorában Veszprém a 2-3-dik helyen áll Győrrel holtversenyben a 2024</w:t>
      </w:r>
      <w:r w:rsidR="00F55791">
        <w:rPr>
          <w:rFonts w:ascii="Tahoma" w:hAnsi="Tahoma" w:cs="Tahoma"/>
          <w:sz w:val="22"/>
          <w:szCs w:val="22"/>
        </w:rPr>
        <w:t>.</w:t>
      </w:r>
      <w:r w:rsidR="00AE30D7">
        <w:rPr>
          <w:rFonts w:ascii="Tahoma" w:hAnsi="Tahoma" w:cs="Tahoma"/>
          <w:sz w:val="22"/>
          <w:szCs w:val="22"/>
        </w:rPr>
        <w:t xml:space="preserve"> évi átlagárakat tekintve az ingatlanpiaci trendek szerint. Miközben az ország legdrágább vidéki járásai éppen a Balaton</w:t>
      </w:r>
      <w:r w:rsidR="00F55791">
        <w:rPr>
          <w:rFonts w:ascii="Tahoma" w:hAnsi="Tahoma" w:cs="Tahoma"/>
          <w:sz w:val="22"/>
          <w:szCs w:val="22"/>
        </w:rPr>
        <w:t xml:space="preserve"> </w:t>
      </w:r>
      <w:r w:rsidR="00AE30D7">
        <w:rPr>
          <w:rFonts w:ascii="Tahoma" w:hAnsi="Tahoma" w:cs="Tahoma"/>
          <w:sz w:val="22"/>
          <w:szCs w:val="22"/>
        </w:rPr>
        <w:t xml:space="preserve">part </w:t>
      </w:r>
      <w:r w:rsidR="00F55791">
        <w:rPr>
          <w:rFonts w:ascii="Tahoma" w:hAnsi="Tahoma" w:cs="Tahoma"/>
          <w:sz w:val="22"/>
          <w:szCs w:val="22"/>
        </w:rPr>
        <w:t>é</w:t>
      </w:r>
      <w:r w:rsidR="00AE30D7">
        <w:rPr>
          <w:rFonts w:ascii="Tahoma" w:hAnsi="Tahoma" w:cs="Tahoma"/>
          <w:sz w:val="22"/>
          <w:szCs w:val="22"/>
        </w:rPr>
        <w:t>szak-keleti szakaszán a szomszédságunkban található</w:t>
      </w:r>
      <w:r w:rsidR="002B0C85">
        <w:rPr>
          <w:rFonts w:ascii="Tahoma" w:hAnsi="Tahoma" w:cs="Tahoma"/>
          <w:sz w:val="22"/>
          <w:szCs w:val="22"/>
        </w:rPr>
        <w:t>ak</w:t>
      </w:r>
      <w:r w:rsidR="00AE30D7">
        <w:rPr>
          <w:rFonts w:ascii="Tahoma" w:hAnsi="Tahoma" w:cs="Tahoma"/>
          <w:sz w:val="22"/>
          <w:szCs w:val="22"/>
        </w:rPr>
        <w:t xml:space="preserve">, ami </w:t>
      </w:r>
      <w:r w:rsidR="002B0C85">
        <w:rPr>
          <w:rFonts w:ascii="Tahoma" w:hAnsi="Tahoma" w:cs="Tahoma"/>
          <w:sz w:val="22"/>
          <w:szCs w:val="22"/>
        </w:rPr>
        <w:t xml:space="preserve">önmagában is </w:t>
      </w:r>
      <w:r w:rsidR="00AE30D7">
        <w:rPr>
          <w:rFonts w:ascii="Tahoma" w:hAnsi="Tahoma" w:cs="Tahoma"/>
          <w:sz w:val="22"/>
          <w:szCs w:val="22"/>
        </w:rPr>
        <w:t>jelentős kihatással van a megyeszékhely árainak alakulására.</w:t>
      </w:r>
    </w:p>
    <w:p w14:paraId="78C779F1" w14:textId="36A9D313" w:rsidR="00AE30D7" w:rsidRDefault="00AE30D7" w:rsidP="00AE30D7">
      <w:pPr>
        <w:spacing w:after="160" w:line="259" w:lineRule="auto"/>
        <w:jc w:val="center"/>
        <w:rPr>
          <w:rFonts w:ascii="Tahoma" w:hAnsi="Tahoma" w:cs="Tahoma"/>
          <w:sz w:val="22"/>
          <w:szCs w:val="22"/>
        </w:rPr>
      </w:pPr>
      <w:r>
        <w:rPr>
          <w:noProof/>
        </w:rPr>
        <w:drawing>
          <wp:inline distT="0" distB="0" distL="0" distR="0" wp14:anchorId="2C1348FF" wp14:editId="7AE42C8F">
            <wp:extent cx="5386939" cy="3117850"/>
            <wp:effectExtent l="0" t="0" r="4445" b="6350"/>
            <wp:docPr id="129027" name="Kép 2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7B45FFD-7DA4-C4DF-205A-FC8A7BD1B58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27" name="Kép 2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7B45FFD-7DA4-C4DF-205A-FC8A7BD1B583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8304" cy="311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7F4CB" w14:textId="084EDB74" w:rsidR="00F24F59" w:rsidRPr="00F24F59" w:rsidRDefault="0067137E" w:rsidP="00F24F59">
      <w:pPr>
        <w:pStyle w:val="Listaszerbekezds"/>
        <w:numPr>
          <w:ilvl w:val="0"/>
          <w:numId w:val="40"/>
        </w:numPr>
        <w:spacing w:after="160" w:line="259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számú </w:t>
      </w:r>
      <w:r w:rsidR="00F24F59">
        <w:rPr>
          <w:rFonts w:ascii="Tahoma" w:hAnsi="Tahoma" w:cs="Tahoma"/>
        </w:rPr>
        <w:t xml:space="preserve">diagram: Lakásárak alakulása megyeszékhelyeken </w:t>
      </w:r>
      <w:bookmarkStart w:id="2" w:name="_Hlk213138023"/>
      <w:r w:rsidR="00F24F59">
        <w:rPr>
          <w:rFonts w:ascii="Tahoma" w:hAnsi="Tahoma" w:cs="Tahoma"/>
        </w:rPr>
        <w:t>(Ft/m</w:t>
      </w:r>
      <w:r w:rsidR="00F55791">
        <w:rPr>
          <w:rFonts w:ascii="Tahoma" w:hAnsi="Tahoma" w:cs="Tahoma"/>
        </w:rPr>
        <w:t>²</w:t>
      </w:r>
      <w:r w:rsidR="00F24F59">
        <w:rPr>
          <w:rFonts w:ascii="Tahoma" w:hAnsi="Tahoma" w:cs="Tahoma"/>
        </w:rPr>
        <w:t xml:space="preserve"> átlagár)</w:t>
      </w:r>
      <w:bookmarkEnd w:id="2"/>
    </w:p>
    <w:p w14:paraId="4418DFFD" w14:textId="013EE89D" w:rsidR="00B97BBF" w:rsidRDefault="00B97BBF" w:rsidP="000600A0">
      <w:pPr>
        <w:spacing w:after="160" w:line="259" w:lineRule="auto"/>
        <w:jc w:val="both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t xml:space="preserve">Az Otthon Start </w:t>
      </w:r>
      <w:r w:rsidR="00AE30D7">
        <w:rPr>
          <w:rFonts w:ascii="Tahoma" w:hAnsi="Tahoma" w:cs="Tahoma"/>
          <w:sz w:val="22"/>
          <w:szCs w:val="22"/>
        </w:rPr>
        <w:t xml:space="preserve">program </w:t>
      </w:r>
      <w:r w:rsidRPr="005E23C0">
        <w:rPr>
          <w:rFonts w:ascii="Tahoma" w:hAnsi="Tahoma" w:cs="Tahoma"/>
          <w:sz w:val="22"/>
          <w:szCs w:val="22"/>
        </w:rPr>
        <w:t xml:space="preserve">tovább </w:t>
      </w:r>
      <w:r w:rsidR="00AE30D7">
        <w:rPr>
          <w:rFonts w:ascii="Tahoma" w:hAnsi="Tahoma" w:cs="Tahoma"/>
          <w:sz w:val="22"/>
          <w:szCs w:val="22"/>
        </w:rPr>
        <w:t xml:space="preserve">erősítheti ezt a trendet, ami </w:t>
      </w:r>
      <w:r w:rsidR="002B0C85">
        <w:rPr>
          <w:rFonts w:ascii="Tahoma" w:hAnsi="Tahoma" w:cs="Tahoma"/>
          <w:sz w:val="22"/>
          <w:szCs w:val="22"/>
        </w:rPr>
        <w:t xml:space="preserve">egy rövid tíz éves időszak alatt azt jelenti, hogy a többszörösén, akár 3x és 4x nagyobb összegen cserélnek gazdát a lakóingatlanok a megyeszékhely településeken és a fővárosban, mint a 2010-es évek első felében. Ez a fajta árdrágulás azonban nem feltétlen tükrözi az ingatlan valós értékét, hanem inkább egy keresleti fellendülést tükröz, amit jól mutat az is, hogy csak a lakóingatlanok és főleg a megyeszékhelyek egy kisebb szegmensében jellemző ez a trend. </w:t>
      </w:r>
      <w:r w:rsidRPr="005E23C0">
        <w:rPr>
          <w:rFonts w:ascii="Tahoma" w:hAnsi="Tahoma" w:cs="Tahoma"/>
          <w:sz w:val="22"/>
          <w:szCs w:val="22"/>
        </w:rPr>
        <w:t>A kínálati oldal stimulációja</w:t>
      </w:r>
      <w:r w:rsidR="002B0C85">
        <w:rPr>
          <w:rFonts w:ascii="Tahoma" w:hAnsi="Tahoma" w:cs="Tahoma"/>
          <w:sz w:val="22"/>
          <w:szCs w:val="22"/>
        </w:rPr>
        <w:t xml:space="preserve"> vezethet el </w:t>
      </w:r>
      <w:r w:rsidR="00AE30D7">
        <w:rPr>
          <w:rFonts w:ascii="Tahoma" w:hAnsi="Tahoma" w:cs="Tahoma"/>
          <w:sz w:val="22"/>
          <w:szCs w:val="22"/>
        </w:rPr>
        <w:t>e</w:t>
      </w:r>
      <w:r w:rsidRPr="005E23C0">
        <w:rPr>
          <w:rFonts w:ascii="Tahoma" w:hAnsi="Tahoma" w:cs="Tahoma"/>
          <w:sz w:val="22"/>
          <w:szCs w:val="22"/>
        </w:rPr>
        <w:t>gyrészt az ingatlanpiac egészséges megújulásához, másrészt az árnövekedés konszolidációjához.</w:t>
      </w:r>
    </w:p>
    <w:p w14:paraId="372191EB" w14:textId="4B71E9FD" w:rsidR="005B0772" w:rsidRDefault="00AE30D7" w:rsidP="00AE30D7">
      <w:pPr>
        <w:spacing w:after="160" w:line="259" w:lineRule="auto"/>
        <w:jc w:val="center"/>
        <w:rPr>
          <w:rFonts w:ascii="Tahoma" w:hAnsi="Tahoma" w:cs="Tahoma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6C2A7E24" wp14:editId="551BC21A">
            <wp:extent cx="4470400" cy="3001336"/>
            <wp:effectExtent l="0" t="0" r="6350" b="8890"/>
            <wp:docPr id="130051" name="Kép 2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30922E8-0F1C-D884-AD36-602ED6A565E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051" name="Kép 2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30922E8-0F1C-D884-AD36-602ED6A565E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585" cy="3005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D84D8D" w14:textId="0CC96A18" w:rsidR="005B0772" w:rsidRPr="00F24F59" w:rsidRDefault="00F24F59" w:rsidP="00F24F59">
      <w:pPr>
        <w:pStyle w:val="Listaszerbekezds"/>
        <w:numPr>
          <w:ilvl w:val="0"/>
          <w:numId w:val="41"/>
        </w:numPr>
        <w:spacing w:after="160" w:line="259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térkép: Lakásárak alakulása járási tagozódás szerint </w:t>
      </w:r>
      <w:r w:rsidRPr="00F24F59">
        <w:rPr>
          <w:rFonts w:ascii="Tahoma" w:hAnsi="Tahoma" w:cs="Tahoma"/>
        </w:rPr>
        <w:t>(Ft/m</w:t>
      </w:r>
      <w:r w:rsidR="00F55791">
        <w:rPr>
          <w:rFonts w:ascii="Tahoma" w:hAnsi="Tahoma" w:cs="Tahoma"/>
        </w:rPr>
        <w:t>²</w:t>
      </w:r>
      <w:r w:rsidRPr="00F24F59">
        <w:rPr>
          <w:rFonts w:ascii="Tahoma" w:hAnsi="Tahoma" w:cs="Tahoma"/>
        </w:rPr>
        <w:t xml:space="preserve"> átlagár)</w:t>
      </w:r>
    </w:p>
    <w:p w14:paraId="1439DAA1" w14:textId="77777777" w:rsidR="00E002F6" w:rsidRPr="005E23C0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14:paraId="0A8503DF" w14:textId="77777777" w:rsidR="00E002F6" w:rsidRPr="005E23C0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  <w:u w:val="single"/>
        </w:rPr>
      </w:pPr>
      <w:r w:rsidRPr="005E23C0">
        <w:rPr>
          <w:rFonts w:ascii="Tahoma" w:hAnsi="Tahoma" w:cs="Tahoma"/>
          <w:sz w:val="22"/>
          <w:szCs w:val="22"/>
          <w:u w:val="single"/>
        </w:rPr>
        <w:t>Az önkormányzati ingatlanvagyon értékesítése:</w:t>
      </w:r>
    </w:p>
    <w:p w14:paraId="2BF22A06" w14:textId="77777777" w:rsidR="00E002F6" w:rsidRPr="005E23C0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14:paraId="044301DF" w14:textId="04F61DDD" w:rsidR="00E002F6" w:rsidRPr="00AE30D7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t xml:space="preserve">Az elmúlt 5 éves időszak elején elsősorban a jövőbeni </w:t>
      </w:r>
      <w:r w:rsidRPr="00AE30D7">
        <w:rPr>
          <w:rFonts w:ascii="Tahoma" w:hAnsi="Tahoma" w:cs="Tahoma"/>
          <w:sz w:val="22"/>
          <w:szCs w:val="22"/>
        </w:rPr>
        <w:t>várható értékénél alacsonyabb áron eladásra kínált, befektetési célú, kedvezőbb gazdasági körülmények között sikeresen fejleszthető, jól értékesíthető ingatlanok iránt volt kereslet. Ennek ellenére az elmúlt öt évben közel 1.</w:t>
      </w:r>
      <w:r w:rsidR="007A6B09" w:rsidRPr="00AE30D7">
        <w:rPr>
          <w:rFonts w:ascii="Tahoma" w:hAnsi="Tahoma" w:cs="Tahoma"/>
          <w:sz w:val="22"/>
          <w:szCs w:val="22"/>
        </w:rPr>
        <w:t>877</w:t>
      </w:r>
      <w:r w:rsidRPr="00AE30D7">
        <w:rPr>
          <w:rFonts w:ascii="Tahoma" w:hAnsi="Tahoma" w:cs="Tahoma"/>
          <w:sz w:val="22"/>
          <w:szCs w:val="22"/>
        </w:rPr>
        <w:t>.</w:t>
      </w:r>
      <w:r w:rsidR="007A6B09" w:rsidRPr="00AE30D7">
        <w:rPr>
          <w:rFonts w:ascii="Tahoma" w:hAnsi="Tahoma" w:cs="Tahoma"/>
          <w:sz w:val="22"/>
          <w:szCs w:val="22"/>
        </w:rPr>
        <w:t>039</w:t>
      </w:r>
      <w:r w:rsidRPr="00AE30D7">
        <w:rPr>
          <w:rFonts w:ascii="Tahoma" w:hAnsi="Tahoma" w:cs="Tahoma"/>
          <w:sz w:val="22"/>
          <w:szCs w:val="22"/>
        </w:rPr>
        <w:t xml:space="preserve"> ezer Ft költségvetési bevétel keletkezett az ingatlanértékesítésekből azzal, hogy az elmúlt 5 évben </w:t>
      </w:r>
      <w:r w:rsidR="007A6B09" w:rsidRPr="00AE30D7">
        <w:rPr>
          <w:rFonts w:ascii="Tahoma" w:hAnsi="Tahoma" w:cs="Tahoma"/>
          <w:sz w:val="22"/>
          <w:szCs w:val="22"/>
        </w:rPr>
        <w:t>57,23</w:t>
      </w:r>
      <w:r w:rsidRPr="00AE30D7">
        <w:rPr>
          <w:rFonts w:ascii="Tahoma" w:hAnsi="Tahoma" w:cs="Tahoma"/>
          <w:sz w:val="22"/>
          <w:szCs w:val="22"/>
        </w:rPr>
        <w:t xml:space="preserve"> %-os szinten sikerült a tervezett bevételeket produkálni.</w:t>
      </w:r>
    </w:p>
    <w:p w14:paraId="19AB8BC0" w14:textId="77777777" w:rsidR="00E002F6" w:rsidRPr="00AE30D7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14:paraId="651D0004" w14:textId="0E6A1F9D" w:rsidR="00E002F6" w:rsidRPr="005E23C0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AE30D7">
        <w:rPr>
          <w:rFonts w:ascii="Tahoma" w:hAnsi="Tahoma" w:cs="Tahoma"/>
          <w:sz w:val="22"/>
          <w:szCs w:val="22"/>
        </w:rPr>
        <w:t>Az Önkormányzat ingatlanértékesítési bevételeinek elmúlt 5 éves alakulását az alábbi táblázat és diagram</w:t>
      </w:r>
      <w:r w:rsidR="00F55791">
        <w:rPr>
          <w:rFonts w:ascii="Tahoma" w:hAnsi="Tahoma" w:cs="Tahoma"/>
          <w:sz w:val="22"/>
          <w:szCs w:val="22"/>
        </w:rPr>
        <w:t xml:space="preserve"> </w:t>
      </w:r>
      <w:r w:rsidRPr="00AE30D7">
        <w:rPr>
          <w:rFonts w:ascii="Tahoma" w:hAnsi="Tahoma" w:cs="Tahoma"/>
          <w:sz w:val="22"/>
          <w:szCs w:val="22"/>
        </w:rPr>
        <w:t xml:space="preserve">mutatja. A mostani várakozásaink szerint elmondhatjuk, hogy az idei évre tervezett ingatlanforgalmi bevételek terén nagyobb mértékű elmaradások várhatóak, a teljesítési szint </w:t>
      </w:r>
      <w:r w:rsidRPr="00FD2039">
        <w:rPr>
          <w:rFonts w:ascii="Tahoma" w:hAnsi="Tahoma" w:cs="Tahoma"/>
          <w:sz w:val="22"/>
          <w:szCs w:val="22"/>
        </w:rPr>
        <w:t xml:space="preserve">körülbelül a </w:t>
      </w:r>
      <w:r w:rsidR="007A6B09" w:rsidRPr="00FD2039">
        <w:rPr>
          <w:rFonts w:ascii="Tahoma" w:hAnsi="Tahoma" w:cs="Tahoma"/>
          <w:sz w:val="22"/>
          <w:szCs w:val="22"/>
        </w:rPr>
        <w:t>2</w:t>
      </w:r>
      <w:r w:rsidR="00FD2039" w:rsidRPr="00FD2039">
        <w:rPr>
          <w:rFonts w:ascii="Tahoma" w:hAnsi="Tahoma" w:cs="Tahoma"/>
          <w:sz w:val="22"/>
          <w:szCs w:val="22"/>
        </w:rPr>
        <w:t>5</w:t>
      </w:r>
      <w:r w:rsidRPr="00FD2039">
        <w:rPr>
          <w:rFonts w:ascii="Tahoma" w:hAnsi="Tahoma" w:cs="Tahoma"/>
          <w:sz w:val="22"/>
          <w:szCs w:val="22"/>
        </w:rPr>
        <w:t xml:space="preserve"> %-os tényadat körül fog alakulni.</w:t>
      </w:r>
    </w:p>
    <w:p w14:paraId="24968D4B" w14:textId="77777777" w:rsidR="00E002F6" w:rsidRPr="005E23C0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14:paraId="3EB7490B" w14:textId="77777777" w:rsidR="00E002F6" w:rsidRPr="005E23C0" w:rsidRDefault="00E002F6" w:rsidP="00B81517">
      <w:pPr>
        <w:numPr>
          <w:ilvl w:val="0"/>
          <w:numId w:val="22"/>
        </w:numPr>
        <w:autoSpaceDE w:val="0"/>
        <w:autoSpaceDN w:val="0"/>
        <w:adjustRightInd w:val="0"/>
        <w:spacing w:after="200"/>
        <w:ind w:left="0" w:right="-92" w:firstLine="0"/>
        <w:contextualSpacing/>
        <w:jc w:val="both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t>számú táblázat: Az önkormányzati ingatlanvagyon értékesítéséből származó bevételek alakulása az elmúlt 5 évben</w:t>
      </w:r>
    </w:p>
    <w:p w14:paraId="1879F9D3" w14:textId="77777777" w:rsidR="00E002F6" w:rsidRPr="005E23C0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tbl>
      <w:tblPr>
        <w:tblW w:w="9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856"/>
        <w:gridCol w:w="845"/>
        <w:gridCol w:w="856"/>
        <w:gridCol w:w="980"/>
        <w:gridCol w:w="856"/>
        <w:gridCol w:w="856"/>
        <w:gridCol w:w="856"/>
        <w:gridCol w:w="980"/>
        <w:gridCol w:w="856"/>
        <w:gridCol w:w="847"/>
      </w:tblGrid>
      <w:tr w:rsidR="005E23C0" w:rsidRPr="005E23C0" w14:paraId="3BE8A172" w14:textId="77777777" w:rsidTr="00282F9E">
        <w:trPr>
          <w:trHeight w:val="315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DD9C3"/>
            <w:noWrap/>
            <w:vAlign w:val="center"/>
            <w:hideMark/>
          </w:tcPr>
          <w:p w14:paraId="3AD4B27C" w14:textId="77777777" w:rsidR="00282F9E" w:rsidRPr="005E23C0" w:rsidRDefault="00282F9E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 w:rsidRPr="005E23C0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D9C3"/>
            <w:noWrap/>
            <w:vAlign w:val="center"/>
            <w:hideMark/>
          </w:tcPr>
          <w:p w14:paraId="0CD02255" w14:textId="77777777" w:rsidR="00282F9E" w:rsidRPr="005E23C0" w:rsidRDefault="00282F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E23C0">
              <w:rPr>
                <w:rFonts w:ascii="Tahoma" w:hAnsi="Tahoma" w:cs="Tahoma"/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8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D9C3"/>
            <w:vAlign w:val="center"/>
            <w:hideMark/>
          </w:tcPr>
          <w:p w14:paraId="27C1BDD8" w14:textId="77777777" w:rsidR="00282F9E" w:rsidRPr="005E23C0" w:rsidRDefault="00282F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E23C0">
              <w:rPr>
                <w:rFonts w:ascii="Tahoma" w:hAnsi="Tahoma" w:cs="Tahoma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7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D9C3"/>
            <w:vAlign w:val="center"/>
            <w:hideMark/>
          </w:tcPr>
          <w:p w14:paraId="4E9CCC54" w14:textId="77777777" w:rsidR="00282F9E" w:rsidRPr="005E23C0" w:rsidRDefault="00282F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E23C0">
              <w:rPr>
                <w:rFonts w:ascii="Tahoma" w:hAnsi="Tahoma" w:cs="Tahoma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8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D9C3"/>
            <w:vAlign w:val="center"/>
            <w:hideMark/>
          </w:tcPr>
          <w:p w14:paraId="70578994" w14:textId="77777777" w:rsidR="00282F9E" w:rsidRPr="005E23C0" w:rsidRDefault="00282F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E23C0">
              <w:rPr>
                <w:rFonts w:ascii="Tahoma" w:hAnsi="Tahoma" w:cs="Tahoma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7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D9C3"/>
            <w:vAlign w:val="center"/>
            <w:hideMark/>
          </w:tcPr>
          <w:p w14:paraId="6945F583" w14:textId="77777777" w:rsidR="00282F9E" w:rsidRPr="005E23C0" w:rsidRDefault="00282F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E23C0">
              <w:rPr>
                <w:rFonts w:ascii="Tahoma" w:hAnsi="Tahoma" w:cs="Tahoma"/>
                <w:b/>
                <w:bCs/>
                <w:sz w:val="20"/>
                <w:szCs w:val="20"/>
              </w:rPr>
              <w:t>2024</w:t>
            </w:r>
          </w:p>
        </w:tc>
      </w:tr>
      <w:tr w:rsidR="005E23C0" w:rsidRPr="005E23C0" w14:paraId="75980661" w14:textId="77777777" w:rsidTr="00282F9E">
        <w:trPr>
          <w:trHeight w:val="315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8659BE" w14:textId="77777777" w:rsidR="00282F9E" w:rsidRPr="005E23C0" w:rsidRDefault="00282F9E">
            <w:pP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noWrap/>
            <w:vAlign w:val="center"/>
            <w:hideMark/>
          </w:tcPr>
          <w:p w14:paraId="4B2DCB3A" w14:textId="77777777" w:rsidR="00282F9E" w:rsidRPr="005E23C0" w:rsidRDefault="00282F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E23C0">
              <w:rPr>
                <w:rFonts w:ascii="Tahoma" w:hAnsi="Tahoma" w:cs="Tahoma"/>
                <w:b/>
                <w:bCs/>
                <w:sz w:val="20"/>
                <w:szCs w:val="20"/>
              </w:rPr>
              <w:t>terv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noWrap/>
            <w:vAlign w:val="center"/>
            <w:hideMark/>
          </w:tcPr>
          <w:p w14:paraId="36DA5DEB" w14:textId="77777777" w:rsidR="00282F9E" w:rsidRPr="005E23C0" w:rsidRDefault="00282F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E23C0">
              <w:rPr>
                <w:rFonts w:ascii="Tahoma" w:hAnsi="Tahoma" w:cs="Tahoma"/>
                <w:b/>
                <w:bCs/>
                <w:sz w:val="20"/>
                <w:szCs w:val="20"/>
              </w:rPr>
              <w:t>tény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  <w:hideMark/>
          </w:tcPr>
          <w:p w14:paraId="7251BEC9" w14:textId="77777777" w:rsidR="00282F9E" w:rsidRPr="005E23C0" w:rsidRDefault="00282F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E23C0">
              <w:rPr>
                <w:rFonts w:ascii="Tahoma" w:hAnsi="Tahoma" w:cs="Tahoma"/>
                <w:b/>
                <w:bCs/>
                <w:sz w:val="20"/>
                <w:szCs w:val="20"/>
              </w:rPr>
              <w:t>terv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  <w:hideMark/>
          </w:tcPr>
          <w:p w14:paraId="45110A9F" w14:textId="77777777" w:rsidR="00282F9E" w:rsidRPr="005E23C0" w:rsidRDefault="00282F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E23C0">
              <w:rPr>
                <w:rFonts w:ascii="Tahoma" w:hAnsi="Tahoma" w:cs="Tahoma"/>
                <w:b/>
                <w:bCs/>
                <w:sz w:val="20"/>
                <w:szCs w:val="20"/>
              </w:rPr>
              <w:t>tény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  <w:hideMark/>
          </w:tcPr>
          <w:p w14:paraId="39D15B4A" w14:textId="77777777" w:rsidR="00282F9E" w:rsidRPr="005E23C0" w:rsidRDefault="00282F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E23C0">
              <w:rPr>
                <w:rFonts w:ascii="Tahoma" w:hAnsi="Tahoma" w:cs="Tahoma"/>
                <w:b/>
                <w:bCs/>
                <w:sz w:val="20"/>
                <w:szCs w:val="20"/>
              </w:rPr>
              <w:t>terv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  <w:hideMark/>
          </w:tcPr>
          <w:p w14:paraId="2FA80472" w14:textId="77777777" w:rsidR="00282F9E" w:rsidRPr="005E23C0" w:rsidRDefault="00282F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E23C0">
              <w:rPr>
                <w:rFonts w:ascii="Tahoma" w:hAnsi="Tahoma" w:cs="Tahoma"/>
                <w:b/>
                <w:bCs/>
                <w:sz w:val="20"/>
                <w:szCs w:val="20"/>
              </w:rPr>
              <w:t>tény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  <w:hideMark/>
          </w:tcPr>
          <w:p w14:paraId="5BBF45BB" w14:textId="77777777" w:rsidR="00282F9E" w:rsidRPr="005E23C0" w:rsidRDefault="00282F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E23C0">
              <w:rPr>
                <w:rFonts w:ascii="Tahoma" w:hAnsi="Tahoma" w:cs="Tahoma"/>
                <w:b/>
                <w:bCs/>
                <w:sz w:val="20"/>
                <w:szCs w:val="20"/>
              </w:rPr>
              <w:t>terv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  <w:hideMark/>
          </w:tcPr>
          <w:p w14:paraId="53E2F93D" w14:textId="77777777" w:rsidR="00282F9E" w:rsidRPr="005E23C0" w:rsidRDefault="00282F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E23C0">
              <w:rPr>
                <w:rFonts w:ascii="Tahoma" w:hAnsi="Tahoma" w:cs="Tahoma"/>
                <w:b/>
                <w:bCs/>
                <w:sz w:val="20"/>
                <w:szCs w:val="20"/>
              </w:rPr>
              <w:t>tény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  <w:hideMark/>
          </w:tcPr>
          <w:p w14:paraId="45807EFD" w14:textId="77777777" w:rsidR="00282F9E" w:rsidRPr="005E23C0" w:rsidRDefault="00282F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E23C0">
              <w:rPr>
                <w:rFonts w:ascii="Tahoma" w:hAnsi="Tahoma" w:cs="Tahoma"/>
                <w:b/>
                <w:bCs/>
                <w:sz w:val="20"/>
                <w:szCs w:val="20"/>
              </w:rPr>
              <w:t>terv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  <w:hideMark/>
          </w:tcPr>
          <w:p w14:paraId="6D9483FA" w14:textId="77777777" w:rsidR="00282F9E" w:rsidRPr="005E23C0" w:rsidRDefault="00282F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E23C0">
              <w:rPr>
                <w:rFonts w:ascii="Tahoma" w:hAnsi="Tahoma" w:cs="Tahoma"/>
                <w:b/>
                <w:bCs/>
                <w:sz w:val="20"/>
                <w:szCs w:val="20"/>
              </w:rPr>
              <w:t>tény</w:t>
            </w:r>
          </w:p>
        </w:tc>
      </w:tr>
      <w:tr w:rsidR="005E23C0" w:rsidRPr="005E23C0" w14:paraId="39C1D0F1" w14:textId="77777777" w:rsidTr="00282F9E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64399B1E" w14:textId="77777777" w:rsidR="00282F9E" w:rsidRPr="005E23C0" w:rsidRDefault="00282F9E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 w:rsidRPr="005E23C0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ezer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100ACB0" w14:textId="77777777" w:rsidR="00282F9E" w:rsidRPr="005E23C0" w:rsidRDefault="00282F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23C0">
              <w:rPr>
                <w:rFonts w:ascii="Tahoma" w:hAnsi="Tahoma" w:cs="Tahoma"/>
                <w:sz w:val="20"/>
                <w:szCs w:val="20"/>
              </w:rPr>
              <w:t>190.000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1ED86CB" w14:textId="77777777" w:rsidR="00282F9E" w:rsidRPr="005E23C0" w:rsidRDefault="00282F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23C0">
              <w:rPr>
                <w:rFonts w:ascii="Tahoma" w:hAnsi="Tahoma" w:cs="Tahoma"/>
                <w:sz w:val="20"/>
                <w:szCs w:val="20"/>
              </w:rPr>
              <w:t>37.339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59160D" w14:textId="77777777" w:rsidR="00282F9E" w:rsidRPr="005E23C0" w:rsidRDefault="00282F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23C0">
              <w:rPr>
                <w:rFonts w:ascii="Tahoma" w:hAnsi="Tahoma" w:cs="Tahoma"/>
                <w:sz w:val="20"/>
                <w:szCs w:val="20"/>
              </w:rPr>
              <w:t>920.000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AFD7AD" w14:textId="77777777" w:rsidR="00282F9E" w:rsidRPr="005E23C0" w:rsidRDefault="00282F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23C0">
              <w:rPr>
                <w:rFonts w:ascii="Tahoma" w:hAnsi="Tahoma" w:cs="Tahoma"/>
                <w:sz w:val="20"/>
                <w:szCs w:val="20"/>
              </w:rPr>
              <w:t>848.081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F1D181" w14:textId="77777777" w:rsidR="00282F9E" w:rsidRPr="005E23C0" w:rsidRDefault="00282F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23C0">
              <w:rPr>
                <w:rFonts w:ascii="Tahoma" w:hAnsi="Tahoma" w:cs="Tahoma"/>
                <w:sz w:val="20"/>
                <w:szCs w:val="20"/>
              </w:rPr>
              <w:t>427.000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FF0A8B" w14:textId="77777777" w:rsidR="00282F9E" w:rsidRPr="005E23C0" w:rsidRDefault="00282F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23C0">
              <w:rPr>
                <w:rFonts w:ascii="Tahoma" w:hAnsi="Tahoma" w:cs="Tahoma"/>
                <w:sz w:val="20"/>
                <w:szCs w:val="20"/>
              </w:rPr>
              <w:t>335.724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4457AE" w14:textId="77777777" w:rsidR="00282F9E" w:rsidRPr="005E23C0" w:rsidRDefault="00282F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23C0">
              <w:rPr>
                <w:rFonts w:ascii="Tahoma" w:hAnsi="Tahoma" w:cs="Tahoma"/>
                <w:sz w:val="20"/>
                <w:szCs w:val="20"/>
              </w:rPr>
              <w:t>750.000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E4783D" w14:textId="77777777" w:rsidR="00282F9E" w:rsidRPr="005E23C0" w:rsidRDefault="00282F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23C0">
              <w:rPr>
                <w:rFonts w:ascii="Tahoma" w:hAnsi="Tahoma" w:cs="Tahoma"/>
                <w:sz w:val="20"/>
                <w:szCs w:val="20"/>
              </w:rPr>
              <w:t>579.073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E5A7AF" w14:textId="77777777" w:rsidR="00282F9E" w:rsidRPr="005E23C0" w:rsidRDefault="00282F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23C0">
              <w:rPr>
                <w:rFonts w:ascii="Tahoma" w:hAnsi="Tahoma" w:cs="Tahoma"/>
                <w:sz w:val="20"/>
                <w:szCs w:val="20"/>
              </w:rPr>
              <w:t>411.300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5EB13A" w14:textId="77777777" w:rsidR="00282F9E" w:rsidRPr="005E23C0" w:rsidRDefault="00282F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23C0">
              <w:rPr>
                <w:rFonts w:ascii="Tahoma" w:hAnsi="Tahoma" w:cs="Tahoma"/>
                <w:sz w:val="20"/>
                <w:szCs w:val="20"/>
              </w:rPr>
              <w:t>76.822</w:t>
            </w:r>
          </w:p>
        </w:tc>
      </w:tr>
      <w:tr w:rsidR="005E23C0" w:rsidRPr="005E23C0" w14:paraId="100DC10B" w14:textId="77777777" w:rsidTr="00282F9E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798358" w14:textId="77777777" w:rsidR="00282F9E" w:rsidRPr="005E23C0" w:rsidRDefault="00282F9E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 w:rsidRPr="005E23C0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FT</w:t>
            </w:r>
          </w:p>
        </w:tc>
        <w:tc>
          <w:tcPr>
            <w:tcW w:w="8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B09FFB" w14:textId="77777777" w:rsidR="00282F9E" w:rsidRPr="005E23C0" w:rsidRDefault="00282F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F6584C" w14:textId="77777777" w:rsidR="00282F9E" w:rsidRPr="005E23C0" w:rsidRDefault="00282F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A6159B" w14:textId="77777777" w:rsidR="00282F9E" w:rsidRPr="005E23C0" w:rsidRDefault="00282F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7A56A" w14:textId="77777777" w:rsidR="00282F9E" w:rsidRPr="005E23C0" w:rsidRDefault="00282F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B19FA2" w14:textId="77777777" w:rsidR="00282F9E" w:rsidRPr="005E23C0" w:rsidRDefault="00282F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45F8AB" w14:textId="77777777" w:rsidR="00282F9E" w:rsidRPr="005E23C0" w:rsidRDefault="00282F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61AAD6" w14:textId="77777777" w:rsidR="00282F9E" w:rsidRPr="005E23C0" w:rsidRDefault="00282F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E3B11B" w14:textId="77777777" w:rsidR="00282F9E" w:rsidRPr="005E23C0" w:rsidRDefault="00282F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0E18B8" w14:textId="77777777" w:rsidR="00282F9E" w:rsidRPr="005E23C0" w:rsidRDefault="00282F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D748B9" w14:textId="77777777" w:rsidR="00282F9E" w:rsidRPr="005E23C0" w:rsidRDefault="00282F9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82F9E" w:rsidRPr="005E23C0" w14:paraId="1F261AEC" w14:textId="77777777" w:rsidTr="00282F9E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B382AF" w14:textId="3102DDEF" w:rsidR="00282F9E" w:rsidRPr="005E23C0" w:rsidRDefault="00282F9E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 w:rsidRPr="005E23C0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3A95C8C" w14:textId="77777777" w:rsidR="00282F9E" w:rsidRPr="005E23C0" w:rsidRDefault="00282F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23C0"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505322" w14:textId="77777777" w:rsidR="00282F9E" w:rsidRPr="005E23C0" w:rsidRDefault="00282F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23C0">
              <w:rPr>
                <w:rFonts w:ascii="Tahoma" w:hAnsi="Tahoma" w:cs="Tahoma"/>
                <w:sz w:val="20"/>
                <w:szCs w:val="20"/>
              </w:rPr>
              <w:t>19,65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9204E2" w14:textId="77777777" w:rsidR="00282F9E" w:rsidRPr="005E23C0" w:rsidRDefault="00282F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23C0"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D24186" w14:textId="77777777" w:rsidR="00282F9E" w:rsidRPr="005E23C0" w:rsidRDefault="00282F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23C0">
              <w:rPr>
                <w:rFonts w:ascii="Tahoma" w:hAnsi="Tahoma" w:cs="Tahoma"/>
                <w:sz w:val="20"/>
                <w:szCs w:val="20"/>
              </w:rPr>
              <w:t>92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2868FB" w14:textId="77777777" w:rsidR="00282F9E" w:rsidRPr="005E23C0" w:rsidRDefault="00282F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23C0"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501A9B" w14:textId="77777777" w:rsidR="00282F9E" w:rsidRPr="005E23C0" w:rsidRDefault="00282F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23C0">
              <w:rPr>
                <w:rFonts w:ascii="Tahoma" w:hAnsi="Tahoma" w:cs="Tahoma"/>
                <w:sz w:val="20"/>
                <w:szCs w:val="20"/>
              </w:rPr>
              <w:t>78,62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1999B3" w14:textId="77777777" w:rsidR="00282F9E" w:rsidRPr="005E23C0" w:rsidRDefault="00282F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23C0"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2A6FB9" w14:textId="77777777" w:rsidR="00282F9E" w:rsidRPr="005E23C0" w:rsidRDefault="00282F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23C0">
              <w:rPr>
                <w:rFonts w:ascii="Tahoma" w:hAnsi="Tahoma" w:cs="Tahoma"/>
                <w:sz w:val="20"/>
                <w:szCs w:val="20"/>
              </w:rPr>
              <w:t>77,21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0CE440" w14:textId="77777777" w:rsidR="00282F9E" w:rsidRPr="005E23C0" w:rsidRDefault="00282F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23C0"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9D2F22" w14:textId="77777777" w:rsidR="00282F9E" w:rsidRPr="005E23C0" w:rsidRDefault="00282F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E23C0">
              <w:rPr>
                <w:rFonts w:ascii="Tahoma" w:hAnsi="Tahoma" w:cs="Tahoma"/>
                <w:sz w:val="20"/>
                <w:szCs w:val="20"/>
              </w:rPr>
              <w:t>18,67</w:t>
            </w:r>
          </w:p>
        </w:tc>
      </w:tr>
    </w:tbl>
    <w:p w14:paraId="0D91ACA8" w14:textId="77777777" w:rsidR="00E002F6" w:rsidRPr="005E23C0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14:paraId="1E481B5C" w14:textId="538D1B0C" w:rsidR="00E002F6" w:rsidRPr="005E23C0" w:rsidRDefault="00282F9E" w:rsidP="00AE30D7">
      <w:pPr>
        <w:autoSpaceDE w:val="0"/>
        <w:autoSpaceDN w:val="0"/>
        <w:adjustRightInd w:val="0"/>
        <w:jc w:val="center"/>
        <w:rPr>
          <w:rFonts w:ascii="Tahoma" w:hAnsi="Tahoma" w:cs="Tahoma"/>
          <w:i/>
          <w:sz w:val="22"/>
          <w:szCs w:val="22"/>
        </w:rPr>
      </w:pPr>
      <w:r w:rsidRPr="005E23C0">
        <w:rPr>
          <w:noProof/>
        </w:rPr>
        <w:lastRenderedPageBreak/>
        <w:drawing>
          <wp:inline distT="0" distB="0" distL="0" distR="0" wp14:anchorId="67537160" wp14:editId="7237D703">
            <wp:extent cx="5727700" cy="3009900"/>
            <wp:effectExtent l="0" t="0" r="6350" b="0"/>
            <wp:docPr id="1268000291" name="Diagram 1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8040A92-7490-117A-3A24-4C01E013FA2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F4E4D05" w14:textId="7A098088" w:rsidR="00E002F6" w:rsidRPr="005E23C0" w:rsidRDefault="00E002F6" w:rsidP="00E002F6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ind w:left="426"/>
        <w:jc w:val="both"/>
        <w:rPr>
          <w:rFonts w:ascii="Tahoma" w:hAnsi="Tahoma" w:cs="Tahoma"/>
        </w:rPr>
      </w:pPr>
      <w:r w:rsidRPr="005E23C0">
        <w:rPr>
          <w:rFonts w:ascii="Tahoma" w:hAnsi="Tahoma" w:cs="Tahoma"/>
        </w:rPr>
        <w:t xml:space="preserve"> számú diagram: Az önkormányzati ingatlanvagyon </w:t>
      </w:r>
      <w:r w:rsidRPr="00AE30D7">
        <w:rPr>
          <w:rFonts w:ascii="Tahoma" w:hAnsi="Tahoma" w:cs="Tahoma"/>
        </w:rPr>
        <w:t>értékesítéséből származó bevételek alakulása az elmúlt 5 évben 20</w:t>
      </w:r>
      <w:r w:rsidR="00282F9E" w:rsidRPr="00AE30D7">
        <w:rPr>
          <w:rFonts w:ascii="Tahoma" w:hAnsi="Tahoma" w:cs="Tahoma"/>
        </w:rPr>
        <w:t>20-</w:t>
      </w:r>
      <w:r w:rsidRPr="00AE30D7">
        <w:rPr>
          <w:rFonts w:ascii="Tahoma" w:hAnsi="Tahoma" w:cs="Tahoma"/>
        </w:rPr>
        <w:t>202</w:t>
      </w:r>
      <w:r w:rsidR="00282F9E" w:rsidRPr="00AE30D7">
        <w:rPr>
          <w:rFonts w:ascii="Tahoma" w:hAnsi="Tahoma" w:cs="Tahoma"/>
        </w:rPr>
        <w:t>4</w:t>
      </w:r>
      <w:r w:rsidRPr="00AE30D7">
        <w:rPr>
          <w:rFonts w:ascii="Tahoma" w:hAnsi="Tahoma" w:cs="Tahoma"/>
        </w:rPr>
        <w:t xml:space="preserve"> között (terv: kék; tény</w:t>
      </w:r>
      <w:r w:rsidRPr="005E23C0">
        <w:rPr>
          <w:rFonts w:ascii="Tahoma" w:hAnsi="Tahoma" w:cs="Tahoma"/>
        </w:rPr>
        <w:t>: piros).</w:t>
      </w:r>
    </w:p>
    <w:p w14:paraId="09EDA64A" w14:textId="77777777" w:rsidR="00E002F6" w:rsidRPr="005E23C0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14:paraId="7D1126D1" w14:textId="2D8D340E" w:rsidR="00E002F6" w:rsidRPr="005E23C0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t xml:space="preserve">Az elmúlt öt éves időszakra a kettősség volt jellemző, hiszen az első évben alacsonyabb volt a piaci aktivitás, majd a 2021. évben mind a tervet, mind pedig a megvalósulást illetően megközelítettük a rekordmagasnak számító 2017-es év számait. A </w:t>
      </w:r>
      <w:r w:rsidR="00003B36" w:rsidRPr="005E23C0">
        <w:rPr>
          <w:rFonts w:ascii="Tahoma" w:hAnsi="Tahoma" w:cs="Tahoma"/>
          <w:sz w:val="22"/>
          <w:szCs w:val="22"/>
        </w:rPr>
        <w:t>2022</w:t>
      </w:r>
      <w:r w:rsidRPr="005E23C0">
        <w:rPr>
          <w:rFonts w:ascii="Tahoma" w:hAnsi="Tahoma" w:cs="Tahoma"/>
          <w:sz w:val="22"/>
          <w:szCs w:val="22"/>
        </w:rPr>
        <w:t>-</w:t>
      </w:r>
      <w:r w:rsidR="00003B36" w:rsidRPr="005E23C0">
        <w:rPr>
          <w:rFonts w:ascii="Tahoma" w:hAnsi="Tahoma" w:cs="Tahoma"/>
          <w:sz w:val="22"/>
          <w:szCs w:val="22"/>
        </w:rPr>
        <w:t>e</w:t>
      </w:r>
      <w:r w:rsidRPr="005E23C0">
        <w:rPr>
          <w:rFonts w:ascii="Tahoma" w:hAnsi="Tahoma" w:cs="Tahoma"/>
          <w:sz w:val="22"/>
          <w:szCs w:val="22"/>
        </w:rPr>
        <w:t xml:space="preserve">s évben a terv/tény adatok között minimális eltérés mutatkozott, majd a </w:t>
      </w:r>
      <w:r w:rsidRPr="00AE30D7">
        <w:rPr>
          <w:rFonts w:ascii="Tahoma" w:hAnsi="Tahoma" w:cs="Tahoma"/>
          <w:sz w:val="22"/>
          <w:szCs w:val="22"/>
        </w:rPr>
        <w:t>különbség elkezdett kinyílni, és a 202</w:t>
      </w:r>
      <w:r w:rsidR="00003B36" w:rsidRPr="00AE30D7">
        <w:rPr>
          <w:rFonts w:ascii="Tahoma" w:hAnsi="Tahoma" w:cs="Tahoma"/>
          <w:sz w:val="22"/>
          <w:szCs w:val="22"/>
        </w:rPr>
        <w:t>4</w:t>
      </w:r>
      <w:r w:rsidRPr="00AE30D7">
        <w:rPr>
          <w:rFonts w:ascii="Tahoma" w:hAnsi="Tahoma" w:cs="Tahoma"/>
          <w:sz w:val="22"/>
          <w:szCs w:val="22"/>
        </w:rPr>
        <w:t>-</w:t>
      </w:r>
      <w:r w:rsidR="00003B36" w:rsidRPr="00AE30D7">
        <w:rPr>
          <w:rFonts w:ascii="Tahoma" w:hAnsi="Tahoma" w:cs="Tahoma"/>
          <w:sz w:val="22"/>
          <w:szCs w:val="22"/>
        </w:rPr>
        <w:t>e</w:t>
      </w:r>
      <w:r w:rsidRPr="00AE30D7">
        <w:rPr>
          <w:rFonts w:ascii="Tahoma" w:hAnsi="Tahoma" w:cs="Tahoma"/>
          <w:sz w:val="22"/>
          <w:szCs w:val="22"/>
        </w:rPr>
        <w:t>s évben mutatkoztak a legrosszabb értékesítési adatok, ami az országos és nemzetközi trendeknek megfeleltethetőek</w:t>
      </w:r>
      <w:r w:rsidR="00AE30D7" w:rsidRPr="00AE30D7">
        <w:rPr>
          <w:rFonts w:ascii="Tahoma" w:hAnsi="Tahoma" w:cs="Tahoma"/>
          <w:sz w:val="22"/>
          <w:szCs w:val="22"/>
        </w:rPr>
        <w:t xml:space="preserve">, amikor </w:t>
      </w:r>
      <w:r w:rsidR="00AE30D7">
        <w:rPr>
          <w:rFonts w:ascii="Tahoma" w:hAnsi="Tahoma" w:cs="Tahoma"/>
          <w:sz w:val="22"/>
          <w:szCs w:val="22"/>
        </w:rPr>
        <w:t>a</w:t>
      </w:r>
      <w:r w:rsidR="00AE30D7" w:rsidRPr="00AE30D7">
        <w:rPr>
          <w:rFonts w:ascii="Tahoma" w:hAnsi="Tahoma" w:cs="Tahoma"/>
          <w:sz w:val="22"/>
          <w:szCs w:val="22"/>
        </w:rPr>
        <w:t xml:space="preserve"> kereslet egyértelműen elmozdult</w:t>
      </w:r>
      <w:r w:rsidR="00AE30D7">
        <w:rPr>
          <w:rFonts w:ascii="Tahoma" w:hAnsi="Tahoma" w:cs="Tahoma"/>
          <w:sz w:val="22"/>
          <w:szCs w:val="22"/>
        </w:rPr>
        <w:t xml:space="preserve"> a rögtön beköltözhető</w:t>
      </w:r>
      <w:r w:rsidR="00AE30D7" w:rsidRPr="00AE30D7">
        <w:rPr>
          <w:rFonts w:ascii="Tahoma" w:hAnsi="Tahoma" w:cs="Tahoma"/>
          <w:sz w:val="22"/>
          <w:szCs w:val="22"/>
        </w:rPr>
        <w:t xml:space="preserve"> lakásingatlanok irányába.</w:t>
      </w:r>
    </w:p>
    <w:p w14:paraId="160B1A23" w14:textId="77777777" w:rsidR="00E002F6" w:rsidRPr="005E23C0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14:paraId="42F66E15" w14:textId="76535933" w:rsidR="00E002F6" w:rsidRPr="005E23C0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t xml:space="preserve">A 2021. évi 920.000 </w:t>
      </w:r>
      <w:proofErr w:type="spellStart"/>
      <w:r w:rsidRPr="005E23C0">
        <w:rPr>
          <w:rFonts w:ascii="Tahoma" w:hAnsi="Tahoma" w:cs="Tahoma"/>
          <w:sz w:val="22"/>
          <w:szCs w:val="22"/>
        </w:rPr>
        <w:t>eFt-os</w:t>
      </w:r>
      <w:proofErr w:type="spellEnd"/>
      <w:r w:rsidRPr="005E23C0">
        <w:rPr>
          <w:rFonts w:ascii="Tahoma" w:hAnsi="Tahoma" w:cs="Tahoma"/>
          <w:sz w:val="22"/>
          <w:szCs w:val="22"/>
        </w:rPr>
        <w:t xml:space="preserve"> ingatlanértékesítési</w:t>
      </w:r>
      <w:r w:rsidR="00F55791">
        <w:rPr>
          <w:rFonts w:ascii="Tahoma" w:hAnsi="Tahoma" w:cs="Tahoma"/>
          <w:sz w:val="22"/>
          <w:szCs w:val="22"/>
        </w:rPr>
        <w:t xml:space="preserve"> </w:t>
      </w:r>
      <w:r w:rsidRPr="005E23C0">
        <w:rPr>
          <w:rFonts w:ascii="Tahoma" w:hAnsi="Tahoma" w:cs="Tahoma"/>
          <w:sz w:val="22"/>
          <w:szCs w:val="22"/>
        </w:rPr>
        <w:t xml:space="preserve">terv bevétel 92 %-os megvalósulásában a legjelentősebb hányadot a volt Piarista Gimnázium (Vár u. 10. számú ingatlan) 500.000 </w:t>
      </w:r>
      <w:proofErr w:type="spellStart"/>
      <w:r w:rsidRPr="005E23C0">
        <w:rPr>
          <w:rFonts w:ascii="Tahoma" w:hAnsi="Tahoma" w:cs="Tahoma"/>
          <w:sz w:val="22"/>
          <w:szCs w:val="22"/>
        </w:rPr>
        <w:t>eFt</w:t>
      </w:r>
      <w:proofErr w:type="spellEnd"/>
      <w:r w:rsidRPr="005E23C0">
        <w:rPr>
          <w:rFonts w:ascii="Tahoma" w:hAnsi="Tahoma" w:cs="Tahoma"/>
          <w:sz w:val="22"/>
          <w:szCs w:val="22"/>
        </w:rPr>
        <w:t xml:space="preserve">, valamint a Veszprém 0393/3 hrsz.-ú ingatlan 251.000 </w:t>
      </w:r>
      <w:proofErr w:type="spellStart"/>
      <w:r w:rsidRPr="005E23C0">
        <w:rPr>
          <w:rFonts w:ascii="Tahoma" w:hAnsi="Tahoma" w:cs="Tahoma"/>
          <w:sz w:val="22"/>
          <w:szCs w:val="22"/>
        </w:rPr>
        <w:t>eFt</w:t>
      </w:r>
      <w:proofErr w:type="spellEnd"/>
      <w:r w:rsidRPr="005E23C0">
        <w:rPr>
          <w:rFonts w:ascii="Tahoma" w:hAnsi="Tahoma" w:cs="Tahoma"/>
          <w:sz w:val="22"/>
          <w:szCs w:val="22"/>
        </w:rPr>
        <w:t xml:space="preserve"> értéken történő eladása tette ki.</w:t>
      </w:r>
    </w:p>
    <w:p w14:paraId="02E9EC68" w14:textId="77777777" w:rsidR="00E002F6" w:rsidRPr="005E23C0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14:paraId="631EFDEA" w14:textId="4A7B1631" w:rsidR="00E002F6" w:rsidRPr="005E23C0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2B0C85">
        <w:rPr>
          <w:rFonts w:ascii="Tahoma" w:hAnsi="Tahoma" w:cs="Tahoma"/>
          <w:sz w:val="22"/>
          <w:szCs w:val="22"/>
        </w:rPr>
        <w:t xml:space="preserve">Az idei bevételi előirányzat </w:t>
      </w:r>
      <w:r w:rsidR="00003B36" w:rsidRPr="002B0C85">
        <w:rPr>
          <w:rFonts w:ascii="Tahoma" w:hAnsi="Tahoma" w:cs="Tahoma"/>
          <w:sz w:val="22"/>
          <w:szCs w:val="22"/>
        </w:rPr>
        <w:t>473.550</w:t>
      </w:r>
      <w:r w:rsidRPr="002B0C85">
        <w:rPr>
          <w:rFonts w:ascii="Tahoma" w:hAnsi="Tahoma" w:cs="Tahoma"/>
          <w:sz w:val="22"/>
          <w:szCs w:val="22"/>
        </w:rPr>
        <w:t xml:space="preserve"> millió forintra volt tervezve. A tervszám megvalósulásának az évközi alakulásáról elmondható, hogy a harmadik negyedév zárásakor </w:t>
      </w:r>
      <w:r w:rsidR="00003B36" w:rsidRPr="002B0C85">
        <w:rPr>
          <w:rFonts w:ascii="Tahoma" w:hAnsi="Tahoma" w:cs="Tahoma"/>
          <w:sz w:val="22"/>
          <w:szCs w:val="22"/>
        </w:rPr>
        <w:t>60</w:t>
      </w:r>
      <w:r w:rsidRPr="002B0C85">
        <w:rPr>
          <w:rFonts w:ascii="Tahoma" w:hAnsi="Tahoma" w:cs="Tahoma"/>
          <w:sz w:val="22"/>
          <w:szCs w:val="22"/>
        </w:rPr>
        <w:t xml:space="preserve"> millió Ft teljesült, amely </w:t>
      </w:r>
      <w:r w:rsidR="00003B36" w:rsidRPr="002B0C85">
        <w:rPr>
          <w:rFonts w:ascii="Tahoma" w:hAnsi="Tahoma" w:cs="Tahoma"/>
          <w:sz w:val="22"/>
          <w:szCs w:val="22"/>
        </w:rPr>
        <w:t>13</w:t>
      </w:r>
      <w:r w:rsidRPr="002B0C85">
        <w:rPr>
          <w:rFonts w:ascii="Tahoma" w:hAnsi="Tahoma" w:cs="Tahoma"/>
          <w:sz w:val="22"/>
          <w:szCs w:val="22"/>
        </w:rPr>
        <w:t xml:space="preserve"> %-os megvalósulásnak felel meg. Az ingatlaneladásból származó előrelátható </w:t>
      </w:r>
      <w:r w:rsidRPr="00FD2039">
        <w:rPr>
          <w:rFonts w:ascii="Tahoma" w:hAnsi="Tahoma" w:cs="Tahoma"/>
          <w:sz w:val="22"/>
          <w:szCs w:val="22"/>
        </w:rPr>
        <w:t>bevétel 25</w:t>
      </w:r>
      <w:r w:rsidR="001C7835" w:rsidRPr="00FD2039">
        <w:rPr>
          <w:rFonts w:ascii="Tahoma" w:hAnsi="Tahoma" w:cs="Tahoma"/>
          <w:sz w:val="22"/>
          <w:szCs w:val="22"/>
        </w:rPr>
        <w:t xml:space="preserve"> </w:t>
      </w:r>
      <w:r w:rsidRPr="00FD2039">
        <w:rPr>
          <w:rFonts w:ascii="Tahoma" w:hAnsi="Tahoma" w:cs="Tahoma"/>
          <w:sz w:val="22"/>
          <w:szCs w:val="22"/>
        </w:rPr>
        <w:t xml:space="preserve">%-os </w:t>
      </w:r>
      <w:r w:rsidR="00B868CF" w:rsidRPr="00FD2039">
        <w:rPr>
          <w:rFonts w:ascii="Tahoma" w:hAnsi="Tahoma" w:cs="Tahoma"/>
          <w:sz w:val="22"/>
          <w:szCs w:val="22"/>
        </w:rPr>
        <w:t xml:space="preserve">szinten </w:t>
      </w:r>
      <w:r w:rsidRPr="00FD2039">
        <w:rPr>
          <w:rFonts w:ascii="Tahoma" w:hAnsi="Tahoma" w:cs="Tahoma"/>
          <w:sz w:val="22"/>
          <w:szCs w:val="22"/>
        </w:rPr>
        <w:t>fog teljesülni, ami a</w:t>
      </w:r>
      <w:r w:rsidRPr="002B0C85">
        <w:rPr>
          <w:rFonts w:ascii="Tahoma" w:hAnsi="Tahoma" w:cs="Tahoma"/>
          <w:sz w:val="22"/>
          <w:szCs w:val="22"/>
        </w:rPr>
        <w:t xml:space="preserve">bból következik, hogy az ingatlanértékesítések </w:t>
      </w:r>
      <w:r w:rsidR="00B868CF" w:rsidRPr="002B0C85">
        <w:rPr>
          <w:rFonts w:ascii="Tahoma" w:hAnsi="Tahoma" w:cs="Tahoma"/>
          <w:sz w:val="22"/>
          <w:szCs w:val="22"/>
        </w:rPr>
        <w:t xml:space="preserve">megközelítőleg felét kitevő </w:t>
      </w:r>
      <w:r w:rsidRPr="002B0C85">
        <w:rPr>
          <w:rFonts w:ascii="Tahoma" w:hAnsi="Tahoma" w:cs="Tahoma"/>
          <w:sz w:val="22"/>
          <w:szCs w:val="22"/>
        </w:rPr>
        <w:t>tervezett bevétele</w:t>
      </w:r>
      <w:r w:rsidR="001C7835">
        <w:rPr>
          <w:rFonts w:ascii="Tahoma" w:hAnsi="Tahoma" w:cs="Tahoma"/>
          <w:sz w:val="22"/>
          <w:szCs w:val="22"/>
        </w:rPr>
        <w:t>k</w:t>
      </w:r>
      <w:r w:rsidRPr="002B0C85">
        <w:rPr>
          <w:rFonts w:ascii="Tahoma" w:hAnsi="Tahoma" w:cs="Tahoma"/>
          <w:sz w:val="22"/>
          <w:szCs w:val="22"/>
        </w:rPr>
        <w:t xml:space="preserve"> között </w:t>
      </w:r>
      <w:r w:rsidRPr="00FD2039">
        <w:rPr>
          <w:rFonts w:ascii="Tahoma" w:hAnsi="Tahoma" w:cs="Tahoma"/>
          <w:sz w:val="22"/>
          <w:szCs w:val="22"/>
        </w:rPr>
        <w:t>szerepel</w:t>
      </w:r>
      <w:r w:rsidR="00B868CF" w:rsidRPr="00FD2039">
        <w:rPr>
          <w:rFonts w:ascii="Tahoma" w:hAnsi="Tahoma" w:cs="Tahoma"/>
          <w:sz w:val="22"/>
          <w:szCs w:val="22"/>
        </w:rPr>
        <w:t>ő Remete és Pajta utcai</w:t>
      </w:r>
      <w:r w:rsidR="00FD2039" w:rsidRPr="00FD2039">
        <w:rPr>
          <w:rFonts w:ascii="Tahoma" w:hAnsi="Tahoma" w:cs="Tahoma"/>
          <w:sz w:val="22"/>
          <w:szCs w:val="22"/>
        </w:rPr>
        <w:t xml:space="preserve"> sarkán lévő</w:t>
      </w:r>
      <w:r w:rsidR="00B868CF" w:rsidRPr="00FD2039">
        <w:rPr>
          <w:rFonts w:ascii="Tahoma" w:hAnsi="Tahoma" w:cs="Tahoma"/>
          <w:sz w:val="22"/>
          <w:szCs w:val="22"/>
        </w:rPr>
        <w:t xml:space="preserve"> volt szociális lakásoknak (</w:t>
      </w:r>
      <w:r w:rsidR="001C7835" w:rsidRPr="00FD2039">
        <w:rPr>
          <w:rFonts w:ascii="Tahoma" w:hAnsi="Tahoma" w:cs="Tahoma"/>
          <w:sz w:val="22"/>
          <w:szCs w:val="22"/>
        </w:rPr>
        <w:t xml:space="preserve">Veszprém </w:t>
      </w:r>
      <w:r w:rsidR="00B868CF" w:rsidRPr="00FD2039">
        <w:rPr>
          <w:rFonts w:ascii="Tahoma" w:hAnsi="Tahoma" w:cs="Tahoma"/>
          <w:sz w:val="22"/>
          <w:szCs w:val="22"/>
        </w:rPr>
        <w:t>358/1 hrsz</w:t>
      </w:r>
      <w:r w:rsidR="001C7835" w:rsidRPr="00FD2039">
        <w:rPr>
          <w:rFonts w:ascii="Tahoma" w:hAnsi="Tahoma" w:cs="Tahoma"/>
          <w:sz w:val="22"/>
          <w:szCs w:val="22"/>
        </w:rPr>
        <w:t>.</w:t>
      </w:r>
      <w:r w:rsidR="00B868CF" w:rsidRPr="00FD2039">
        <w:rPr>
          <w:rFonts w:ascii="Tahoma" w:hAnsi="Tahoma" w:cs="Tahoma"/>
          <w:sz w:val="22"/>
          <w:szCs w:val="22"/>
        </w:rPr>
        <w:t>), ill</w:t>
      </w:r>
      <w:r w:rsidR="001C7835" w:rsidRPr="00FD2039">
        <w:rPr>
          <w:rFonts w:ascii="Tahoma" w:hAnsi="Tahoma" w:cs="Tahoma"/>
          <w:sz w:val="22"/>
          <w:szCs w:val="22"/>
        </w:rPr>
        <w:t xml:space="preserve">etve </w:t>
      </w:r>
      <w:r w:rsidR="00B868CF" w:rsidRPr="00FD2039">
        <w:rPr>
          <w:rFonts w:ascii="Tahoma" w:hAnsi="Tahoma" w:cs="Tahoma"/>
          <w:sz w:val="22"/>
          <w:szCs w:val="22"/>
        </w:rPr>
        <w:t xml:space="preserve">a Veszprém Déli </w:t>
      </w:r>
      <w:r w:rsidR="001C7835" w:rsidRPr="00FD2039">
        <w:rPr>
          <w:rFonts w:ascii="Tahoma" w:hAnsi="Tahoma" w:cs="Tahoma"/>
          <w:sz w:val="22"/>
          <w:szCs w:val="22"/>
        </w:rPr>
        <w:t>I</w:t>
      </w:r>
      <w:r w:rsidR="00B868CF" w:rsidRPr="00FD2039">
        <w:rPr>
          <w:rFonts w:ascii="Tahoma" w:hAnsi="Tahoma" w:cs="Tahoma"/>
          <w:sz w:val="22"/>
          <w:szCs w:val="22"/>
        </w:rPr>
        <w:t xml:space="preserve">ntézményközpont </w:t>
      </w:r>
      <w:r w:rsidR="00B81517" w:rsidRPr="00FD2039">
        <w:rPr>
          <w:rFonts w:ascii="Tahoma" w:hAnsi="Tahoma" w:cs="Tahoma"/>
          <w:sz w:val="22"/>
          <w:szCs w:val="22"/>
        </w:rPr>
        <w:t>0438 hrsz.-ú „kivett telephely” művelési ágú 3083 m² területű ingatlan</w:t>
      </w:r>
      <w:r w:rsidR="00B81517" w:rsidRPr="002B0C85">
        <w:rPr>
          <w:rFonts w:ascii="Tahoma" w:hAnsi="Tahoma" w:cs="Tahoma"/>
          <w:sz w:val="22"/>
          <w:szCs w:val="22"/>
        </w:rPr>
        <w:t xml:space="preserve"> </w:t>
      </w:r>
      <w:r w:rsidR="00B868CF" w:rsidRPr="002B0C85">
        <w:rPr>
          <w:rFonts w:ascii="Tahoma" w:hAnsi="Tahoma" w:cs="Tahoma"/>
          <w:sz w:val="22"/>
          <w:szCs w:val="22"/>
        </w:rPr>
        <w:t>eladásai 2025. III. negyedévéig még nem realizálódtak, esetlegesen a</w:t>
      </w:r>
      <w:r w:rsidRPr="002B0C85">
        <w:rPr>
          <w:rFonts w:ascii="Tahoma" w:hAnsi="Tahoma" w:cs="Tahoma"/>
          <w:sz w:val="22"/>
          <w:szCs w:val="22"/>
        </w:rPr>
        <w:t xml:space="preserve"> következő évekre csúsznak. </w:t>
      </w:r>
    </w:p>
    <w:p w14:paraId="36FFD353" w14:textId="77777777" w:rsidR="00E002F6" w:rsidRPr="005E23C0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14:paraId="0F5AF56A" w14:textId="06719368" w:rsidR="00E002F6" w:rsidRPr="005E23C0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2B0C85">
        <w:rPr>
          <w:rFonts w:ascii="Tahoma" w:hAnsi="Tahoma" w:cs="Tahoma"/>
          <w:sz w:val="22"/>
          <w:szCs w:val="22"/>
        </w:rPr>
        <w:t>202</w:t>
      </w:r>
      <w:r w:rsidR="0081086B" w:rsidRPr="002B0C85">
        <w:rPr>
          <w:rFonts w:ascii="Tahoma" w:hAnsi="Tahoma" w:cs="Tahoma"/>
          <w:sz w:val="22"/>
          <w:szCs w:val="22"/>
        </w:rPr>
        <w:t>5</w:t>
      </w:r>
      <w:r w:rsidRPr="002B0C85">
        <w:rPr>
          <w:rFonts w:ascii="Tahoma" w:hAnsi="Tahoma" w:cs="Tahoma"/>
          <w:sz w:val="22"/>
          <w:szCs w:val="22"/>
        </w:rPr>
        <w:t xml:space="preserve">. </w:t>
      </w:r>
      <w:r w:rsidR="00B85282" w:rsidRPr="002B0C85">
        <w:rPr>
          <w:rFonts w:ascii="Tahoma" w:hAnsi="Tahoma" w:cs="Tahoma"/>
          <w:sz w:val="22"/>
          <w:szCs w:val="22"/>
        </w:rPr>
        <w:t>II.</w:t>
      </w:r>
      <w:r w:rsidRPr="002B0C85">
        <w:rPr>
          <w:rFonts w:ascii="Tahoma" w:hAnsi="Tahoma" w:cs="Tahoma"/>
          <w:sz w:val="22"/>
          <w:szCs w:val="22"/>
        </w:rPr>
        <w:t xml:space="preserve"> negyedévében értékesítésre kijelöl</w:t>
      </w:r>
      <w:r w:rsidR="00314332" w:rsidRPr="002B0C85">
        <w:rPr>
          <w:rFonts w:ascii="Tahoma" w:hAnsi="Tahoma" w:cs="Tahoma"/>
          <w:sz w:val="22"/>
          <w:szCs w:val="22"/>
        </w:rPr>
        <w:t>t ingatlanok között számottevő összeggel</w:t>
      </w:r>
      <w:r w:rsidR="003B7FC2">
        <w:rPr>
          <w:rFonts w:ascii="Tahoma" w:hAnsi="Tahoma" w:cs="Tahoma"/>
          <w:sz w:val="22"/>
          <w:szCs w:val="22"/>
        </w:rPr>
        <w:t xml:space="preserve"> </w:t>
      </w:r>
      <w:r w:rsidR="00314332" w:rsidRPr="002B0C85">
        <w:rPr>
          <w:rFonts w:ascii="Tahoma" w:hAnsi="Tahoma" w:cs="Tahoma"/>
          <w:sz w:val="22"/>
          <w:szCs w:val="22"/>
        </w:rPr>
        <w:t>szerepel a</w:t>
      </w:r>
      <w:r w:rsidRPr="002B0C85">
        <w:rPr>
          <w:rFonts w:ascii="Tahoma" w:hAnsi="Tahoma" w:cs="Tahoma"/>
          <w:sz w:val="22"/>
          <w:szCs w:val="22"/>
        </w:rPr>
        <w:t xml:space="preserve"> </w:t>
      </w:r>
      <w:r w:rsidR="00B85282" w:rsidRPr="002B0C85">
        <w:rPr>
          <w:rFonts w:ascii="Tahoma" w:hAnsi="Tahoma" w:cs="Tahoma"/>
          <w:sz w:val="22"/>
          <w:szCs w:val="22"/>
        </w:rPr>
        <w:t xml:space="preserve">Veszprém 4273/105 hrsz.-ú – természetben a Veszprém, Cholnoky </w:t>
      </w:r>
      <w:r w:rsidR="003B7FC2">
        <w:rPr>
          <w:rFonts w:ascii="Tahoma" w:hAnsi="Tahoma" w:cs="Tahoma"/>
          <w:sz w:val="22"/>
          <w:szCs w:val="22"/>
        </w:rPr>
        <w:t xml:space="preserve">J. </w:t>
      </w:r>
      <w:r w:rsidR="00B85282" w:rsidRPr="002B0C85">
        <w:rPr>
          <w:rFonts w:ascii="Tahoma" w:hAnsi="Tahoma" w:cs="Tahoma"/>
          <w:sz w:val="22"/>
          <w:szCs w:val="22"/>
        </w:rPr>
        <w:t>utca 11. szám alatt található – „kivett üzlet” megnevezésű 221 m</w:t>
      </w:r>
      <w:r w:rsidR="003B7FC2">
        <w:rPr>
          <w:rFonts w:ascii="Tahoma" w:hAnsi="Tahoma" w:cs="Tahoma"/>
          <w:sz w:val="22"/>
          <w:szCs w:val="22"/>
        </w:rPr>
        <w:t>²</w:t>
      </w:r>
      <w:r w:rsidR="00B85282" w:rsidRPr="002B0C85">
        <w:rPr>
          <w:rFonts w:ascii="Tahoma" w:hAnsi="Tahoma" w:cs="Tahoma"/>
          <w:sz w:val="22"/>
          <w:szCs w:val="22"/>
        </w:rPr>
        <w:t xml:space="preserve"> területű ingatlan</w:t>
      </w:r>
      <w:r w:rsidR="003B7FC2">
        <w:rPr>
          <w:rFonts w:ascii="Tahoma" w:hAnsi="Tahoma" w:cs="Tahoma"/>
          <w:sz w:val="22"/>
          <w:szCs w:val="22"/>
        </w:rPr>
        <w:t xml:space="preserve"> 35 millió Ft</w:t>
      </w:r>
      <w:r w:rsidR="00314332" w:rsidRPr="002B0C85">
        <w:rPr>
          <w:rFonts w:ascii="Tahoma" w:hAnsi="Tahoma" w:cs="Tahoma"/>
          <w:sz w:val="22"/>
          <w:szCs w:val="22"/>
        </w:rPr>
        <w:t>;</w:t>
      </w:r>
      <w:r w:rsidR="00F1304B" w:rsidRPr="002B0C85">
        <w:rPr>
          <w:rFonts w:ascii="Tahoma" w:hAnsi="Tahoma" w:cs="Tahoma"/>
          <w:sz w:val="22"/>
          <w:szCs w:val="22"/>
        </w:rPr>
        <w:t xml:space="preserve"> a Veszprém 4273/51/A/25 hrsz.-ú – természetben a Veszprém, Ady Endre utca 73/A</w:t>
      </w:r>
      <w:r w:rsidR="003B7FC2">
        <w:rPr>
          <w:rFonts w:ascii="Tahoma" w:hAnsi="Tahoma" w:cs="Tahoma"/>
          <w:sz w:val="22"/>
          <w:szCs w:val="22"/>
        </w:rPr>
        <w:t>.</w:t>
      </w:r>
      <w:r w:rsidR="00F1304B" w:rsidRPr="002B0C85">
        <w:rPr>
          <w:rFonts w:ascii="Tahoma" w:hAnsi="Tahoma" w:cs="Tahoma"/>
          <w:sz w:val="22"/>
          <w:szCs w:val="22"/>
        </w:rPr>
        <w:t xml:space="preserve"> földszint alatt található – „posta” megnevezésű ingatlan 49,5 millió Ft</w:t>
      </w:r>
      <w:r w:rsidR="00314332" w:rsidRPr="002B0C85">
        <w:rPr>
          <w:rFonts w:ascii="Tahoma" w:hAnsi="Tahoma" w:cs="Tahoma"/>
          <w:sz w:val="22"/>
          <w:szCs w:val="22"/>
        </w:rPr>
        <w:t>;</w:t>
      </w:r>
      <w:r w:rsidR="00F1304B" w:rsidRPr="002B0C85">
        <w:rPr>
          <w:rFonts w:ascii="Tahoma" w:hAnsi="Tahoma" w:cs="Tahoma"/>
          <w:sz w:val="22"/>
          <w:szCs w:val="22"/>
        </w:rPr>
        <w:t xml:space="preserve"> </w:t>
      </w:r>
      <w:r w:rsidR="00314332" w:rsidRPr="002B0C85">
        <w:rPr>
          <w:rFonts w:ascii="Tahoma" w:hAnsi="Tahoma" w:cs="Tahoma"/>
          <w:sz w:val="22"/>
          <w:szCs w:val="22"/>
        </w:rPr>
        <w:t xml:space="preserve">továbbá a </w:t>
      </w:r>
      <w:r w:rsidR="00F1304B" w:rsidRPr="002B0C85">
        <w:rPr>
          <w:rFonts w:ascii="Tahoma" w:hAnsi="Tahoma" w:cs="Tahoma"/>
          <w:sz w:val="22"/>
          <w:szCs w:val="22"/>
        </w:rPr>
        <w:t>Veszprém 3043 hrsz.-ú – természetben a Veszprém, Aradi vértanúk utcai hulladéklerakó mögött található – ingatlan</w:t>
      </w:r>
      <w:r w:rsidR="00314332" w:rsidRPr="002B0C85">
        <w:rPr>
          <w:rFonts w:ascii="Tahoma" w:hAnsi="Tahoma" w:cs="Tahoma"/>
          <w:sz w:val="22"/>
          <w:szCs w:val="22"/>
        </w:rPr>
        <w:t xml:space="preserve"> 70 millió Ft legalacsonyabb ár</w:t>
      </w:r>
      <w:r w:rsidR="002B0C85">
        <w:rPr>
          <w:rFonts w:ascii="Tahoma" w:hAnsi="Tahoma" w:cs="Tahoma"/>
          <w:sz w:val="22"/>
          <w:szCs w:val="22"/>
        </w:rPr>
        <w:t>ú meghirdetési</w:t>
      </w:r>
      <w:r w:rsidR="00314332" w:rsidRPr="002B0C85">
        <w:rPr>
          <w:rFonts w:ascii="Tahoma" w:hAnsi="Tahoma" w:cs="Tahoma"/>
          <w:sz w:val="22"/>
          <w:szCs w:val="22"/>
        </w:rPr>
        <w:t xml:space="preserve"> összeggel.</w:t>
      </w:r>
    </w:p>
    <w:p w14:paraId="7B2ADC85" w14:textId="77777777" w:rsidR="00E002F6" w:rsidRPr="005E23C0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14:paraId="365AE2D6" w14:textId="0B2561F9" w:rsidR="00E002F6" w:rsidRPr="005E23C0" w:rsidRDefault="00E002F6" w:rsidP="00E002F6">
      <w:pPr>
        <w:jc w:val="both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lastRenderedPageBreak/>
        <w:t>A 202</w:t>
      </w:r>
      <w:r w:rsidR="00B868CF" w:rsidRPr="005E23C0">
        <w:rPr>
          <w:rFonts w:ascii="Tahoma" w:hAnsi="Tahoma" w:cs="Tahoma"/>
          <w:sz w:val="22"/>
          <w:szCs w:val="22"/>
        </w:rPr>
        <w:t>6</w:t>
      </w:r>
      <w:r w:rsidRPr="005E23C0">
        <w:rPr>
          <w:rFonts w:ascii="Tahoma" w:hAnsi="Tahoma" w:cs="Tahoma"/>
          <w:sz w:val="22"/>
          <w:szCs w:val="22"/>
        </w:rPr>
        <w:t xml:space="preserve">. évben a vagyongazdálkodási irányelvekben nem tervezünk módosulást bevezetni, hanem az óvatos, biztonságra törekvő megközelítés továbbvitele mellett kötelezzük el magunkat a tervezéskor. Ennek megfelelően a meglévő, hirdetés alatt álló ingatlanállomány pályázati felhívásának az aktualizálására </w:t>
      </w:r>
      <w:r w:rsidR="006B6467">
        <w:rPr>
          <w:rFonts w:ascii="Tahoma" w:hAnsi="Tahoma" w:cs="Tahoma"/>
          <w:sz w:val="22"/>
          <w:szCs w:val="22"/>
        </w:rPr>
        <w:t xml:space="preserve">és felülvizsgálatára </w:t>
      </w:r>
      <w:r w:rsidRPr="005E23C0">
        <w:rPr>
          <w:rFonts w:ascii="Tahoma" w:hAnsi="Tahoma" w:cs="Tahoma"/>
          <w:sz w:val="22"/>
          <w:szCs w:val="22"/>
        </w:rPr>
        <w:t>kerülhet sor.</w:t>
      </w:r>
    </w:p>
    <w:p w14:paraId="57BD03C8" w14:textId="77777777" w:rsidR="00E002F6" w:rsidRPr="005E23C0" w:rsidRDefault="00E002F6" w:rsidP="00E002F6">
      <w:pPr>
        <w:jc w:val="both"/>
        <w:rPr>
          <w:rFonts w:ascii="Tahoma" w:hAnsi="Tahoma" w:cs="Tahoma"/>
          <w:sz w:val="22"/>
          <w:szCs w:val="22"/>
        </w:rPr>
      </w:pPr>
    </w:p>
    <w:p w14:paraId="5816688D" w14:textId="6D68B12F" w:rsidR="00B05B03" w:rsidRDefault="00D26CBF" w:rsidP="00E002F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 2025-ös évben az alábbi táblázatban bemutatott ingatlanok értékesítésre történ</w:t>
      </w:r>
      <w:r w:rsidR="002546BB">
        <w:rPr>
          <w:rFonts w:ascii="Tahoma" w:hAnsi="Tahoma" w:cs="Tahoma"/>
          <w:sz w:val="22"/>
          <w:szCs w:val="22"/>
        </w:rPr>
        <w:t>ő</w:t>
      </w:r>
      <w:r>
        <w:rPr>
          <w:rFonts w:ascii="Tahoma" w:hAnsi="Tahoma" w:cs="Tahoma"/>
          <w:sz w:val="22"/>
          <w:szCs w:val="22"/>
        </w:rPr>
        <w:t xml:space="preserve"> kijelölése történt meg, ám a pályáztatási eljárások sikertelennek bizonyultak.</w:t>
      </w:r>
    </w:p>
    <w:p w14:paraId="128A94D4" w14:textId="77777777" w:rsidR="006459B5" w:rsidRPr="0067137E" w:rsidRDefault="006459B5" w:rsidP="00E002F6">
      <w:pPr>
        <w:jc w:val="both"/>
        <w:rPr>
          <w:rFonts w:ascii="Tahoma" w:hAnsi="Tahoma" w:cs="Tahoma"/>
          <w:sz w:val="22"/>
          <w:szCs w:val="22"/>
        </w:rPr>
      </w:pPr>
    </w:p>
    <w:p w14:paraId="5C8E71F0" w14:textId="4E716B54" w:rsidR="006459B5" w:rsidRPr="0067137E" w:rsidRDefault="006459B5" w:rsidP="006459B5">
      <w:pPr>
        <w:jc w:val="both"/>
        <w:rPr>
          <w:rFonts w:ascii="Tahoma" w:hAnsi="Tahoma" w:cs="Tahoma"/>
          <w:sz w:val="22"/>
          <w:szCs w:val="22"/>
        </w:rPr>
      </w:pPr>
      <w:r w:rsidRPr="0067137E">
        <w:rPr>
          <w:rFonts w:ascii="Tahoma" w:hAnsi="Tahoma" w:cs="Tahoma"/>
          <w:sz w:val="22"/>
          <w:szCs w:val="22"/>
        </w:rPr>
        <w:t>2.</w:t>
      </w:r>
      <w:r w:rsidR="00976770">
        <w:rPr>
          <w:rFonts w:ascii="Tahoma" w:hAnsi="Tahoma" w:cs="Tahoma"/>
          <w:sz w:val="22"/>
          <w:szCs w:val="22"/>
        </w:rPr>
        <w:t xml:space="preserve"> </w:t>
      </w:r>
      <w:r w:rsidRPr="0067137E">
        <w:rPr>
          <w:rFonts w:ascii="Tahoma" w:hAnsi="Tahoma" w:cs="Tahoma"/>
          <w:sz w:val="22"/>
          <w:szCs w:val="22"/>
        </w:rPr>
        <w:t>számú táblázat:</w:t>
      </w:r>
    </w:p>
    <w:p w14:paraId="0E61CE58" w14:textId="77777777" w:rsidR="00D26CBF" w:rsidRDefault="00D26CBF" w:rsidP="00E002F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9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7"/>
        <w:gridCol w:w="3433"/>
      </w:tblGrid>
      <w:tr w:rsidR="00217E1D" w14:paraId="68737209" w14:textId="77777777" w:rsidTr="00BA6D32">
        <w:trPr>
          <w:trHeight w:val="280"/>
          <w:jc w:val="center"/>
        </w:trPr>
        <w:tc>
          <w:tcPr>
            <w:tcW w:w="622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45A235B" w14:textId="4E30ACF6" w:rsidR="00217E1D" w:rsidRPr="00F92024" w:rsidRDefault="00217E1D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F92024">
              <w:rPr>
                <w:rFonts w:ascii="Tahoma" w:hAnsi="Tahoma" w:cs="Tahoma"/>
                <w:b/>
                <w:bCs/>
                <w:sz w:val="22"/>
                <w:szCs w:val="22"/>
              </w:rPr>
              <w:t>2026</w:t>
            </w:r>
            <w:r w:rsidR="003B7FC2"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  <w:r w:rsidRPr="00F92024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bevételi terv</w:t>
            </w:r>
          </w:p>
        </w:tc>
        <w:tc>
          <w:tcPr>
            <w:tcW w:w="34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10B456E" w14:textId="77777777" w:rsidR="00217E1D" w:rsidRPr="00F92024" w:rsidRDefault="00217E1D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F92024">
              <w:rPr>
                <w:rFonts w:ascii="Tahoma" w:hAnsi="Tahoma" w:cs="Tahoma"/>
                <w:b/>
                <w:bCs/>
                <w:sz w:val="22"/>
                <w:szCs w:val="22"/>
              </w:rPr>
              <w:t>Tervezett</w:t>
            </w:r>
          </w:p>
        </w:tc>
      </w:tr>
      <w:tr w:rsidR="00217E1D" w14:paraId="4E6C6405" w14:textId="77777777" w:rsidTr="00BA6D32">
        <w:trPr>
          <w:trHeight w:val="290"/>
          <w:jc w:val="center"/>
        </w:trPr>
        <w:tc>
          <w:tcPr>
            <w:tcW w:w="62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FEAC4BF" w14:textId="77777777" w:rsidR="00217E1D" w:rsidRPr="00F92024" w:rsidRDefault="00217E1D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F92024">
              <w:rPr>
                <w:rFonts w:ascii="Tahoma" w:hAnsi="Tahoma" w:cs="Tahoma"/>
                <w:b/>
                <w:bCs/>
                <w:sz w:val="22"/>
                <w:szCs w:val="22"/>
              </w:rPr>
              <w:t>Ingatlanértékesítés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C8AA86E" w14:textId="77777777" w:rsidR="00217E1D" w:rsidRPr="00F92024" w:rsidRDefault="00217E1D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F92024">
              <w:rPr>
                <w:rFonts w:ascii="Tahoma" w:hAnsi="Tahoma" w:cs="Tahoma"/>
                <w:b/>
                <w:bCs/>
                <w:sz w:val="22"/>
                <w:szCs w:val="22"/>
              </w:rPr>
              <w:t>nettó eladási ár</w:t>
            </w:r>
          </w:p>
        </w:tc>
      </w:tr>
      <w:tr w:rsidR="00217E1D" w14:paraId="05483970" w14:textId="77777777" w:rsidTr="00BA6D32">
        <w:trPr>
          <w:trHeight w:val="280"/>
          <w:jc w:val="center"/>
        </w:trPr>
        <w:tc>
          <w:tcPr>
            <w:tcW w:w="6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5E869" w14:textId="63F55031" w:rsidR="00217E1D" w:rsidRPr="00F92024" w:rsidRDefault="00217E1D">
            <w:pPr>
              <w:rPr>
                <w:rFonts w:ascii="Tahoma" w:hAnsi="Tahoma" w:cs="Tahoma"/>
                <w:sz w:val="20"/>
                <w:szCs w:val="20"/>
              </w:rPr>
            </w:pPr>
            <w:r w:rsidRPr="00F92024">
              <w:rPr>
                <w:rFonts w:ascii="Tahoma" w:hAnsi="Tahoma" w:cs="Tahoma"/>
                <w:sz w:val="20"/>
                <w:szCs w:val="20"/>
              </w:rPr>
              <w:t xml:space="preserve">Veszprém, </w:t>
            </w:r>
            <w:r w:rsidR="003B7FC2">
              <w:rPr>
                <w:rFonts w:ascii="Tahoma" w:hAnsi="Tahoma" w:cs="Tahoma"/>
                <w:sz w:val="20"/>
                <w:szCs w:val="20"/>
              </w:rPr>
              <w:t>D</w:t>
            </w:r>
            <w:r w:rsidRPr="00F92024">
              <w:rPr>
                <w:rFonts w:ascii="Tahoma" w:hAnsi="Tahoma" w:cs="Tahoma"/>
                <w:sz w:val="20"/>
                <w:szCs w:val="20"/>
              </w:rPr>
              <w:t xml:space="preserve">éli </w:t>
            </w:r>
            <w:proofErr w:type="spellStart"/>
            <w:r w:rsidR="003B7FC2">
              <w:rPr>
                <w:rFonts w:ascii="Tahoma" w:hAnsi="Tahoma" w:cs="Tahoma"/>
                <w:sz w:val="20"/>
                <w:szCs w:val="20"/>
              </w:rPr>
              <w:t>I</w:t>
            </w:r>
            <w:r w:rsidRPr="00F92024">
              <w:rPr>
                <w:rFonts w:ascii="Tahoma" w:hAnsi="Tahoma" w:cs="Tahoma"/>
                <w:sz w:val="20"/>
                <w:szCs w:val="20"/>
              </w:rPr>
              <w:t>nt</w:t>
            </w:r>
            <w:r w:rsidR="00812848">
              <w:rPr>
                <w:rFonts w:ascii="Tahoma" w:hAnsi="Tahoma" w:cs="Tahoma"/>
                <w:sz w:val="20"/>
                <w:szCs w:val="20"/>
              </w:rPr>
              <w:t>ézményközp</w:t>
            </w:r>
            <w:proofErr w:type="spellEnd"/>
            <w:r w:rsidR="00812848">
              <w:rPr>
                <w:rFonts w:ascii="Tahoma" w:hAnsi="Tahoma" w:cs="Tahoma"/>
                <w:sz w:val="20"/>
                <w:szCs w:val="20"/>
              </w:rPr>
              <w:t>.</w:t>
            </w:r>
            <w:r w:rsidRPr="00F92024">
              <w:rPr>
                <w:rFonts w:ascii="Tahoma" w:hAnsi="Tahoma" w:cs="Tahoma"/>
                <w:sz w:val="20"/>
                <w:szCs w:val="20"/>
              </w:rPr>
              <w:t xml:space="preserve"> 0438 hrsz</w:t>
            </w:r>
            <w:r w:rsidR="003B7FC2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F1E0C2" w14:textId="30FFB2AB" w:rsidR="00217E1D" w:rsidRPr="00F92024" w:rsidRDefault="00217E1D">
            <w:pPr>
              <w:rPr>
                <w:rFonts w:ascii="Tahoma" w:hAnsi="Tahoma" w:cs="Tahoma"/>
                <w:sz w:val="20"/>
                <w:szCs w:val="20"/>
              </w:rPr>
            </w:pPr>
            <w:r w:rsidRPr="00F92024">
              <w:rPr>
                <w:rFonts w:ascii="Tahoma" w:hAnsi="Tahoma" w:cs="Tahoma"/>
                <w:sz w:val="20"/>
                <w:szCs w:val="20"/>
              </w:rPr>
              <w:t xml:space="preserve">                          </w:t>
            </w:r>
            <w:r w:rsidR="003656B7">
              <w:rPr>
                <w:rFonts w:ascii="Tahoma" w:hAnsi="Tahoma" w:cs="Tahoma"/>
                <w:sz w:val="20"/>
                <w:szCs w:val="20"/>
              </w:rPr>
              <w:t>66 5</w:t>
            </w:r>
            <w:r w:rsidRPr="00F92024">
              <w:rPr>
                <w:rFonts w:ascii="Tahoma" w:hAnsi="Tahoma" w:cs="Tahoma"/>
                <w:sz w:val="20"/>
                <w:szCs w:val="20"/>
              </w:rPr>
              <w:t xml:space="preserve">00 000,00 Ft </w:t>
            </w:r>
          </w:p>
        </w:tc>
      </w:tr>
      <w:tr w:rsidR="00217E1D" w14:paraId="5FDA0E15" w14:textId="77777777" w:rsidTr="00BA6D32">
        <w:trPr>
          <w:trHeight w:val="280"/>
          <w:jc w:val="center"/>
        </w:trPr>
        <w:tc>
          <w:tcPr>
            <w:tcW w:w="6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031B0" w14:textId="77777777" w:rsidR="00217E1D" w:rsidRPr="00F92024" w:rsidRDefault="00217E1D">
            <w:pPr>
              <w:rPr>
                <w:rFonts w:ascii="Tahoma" w:hAnsi="Tahoma" w:cs="Tahoma"/>
                <w:sz w:val="20"/>
                <w:szCs w:val="20"/>
              </w:rPr>
            </w:pPr>
            <w:r w:rsidRPr="00F92024">
              <w:rPr>
                <w:rFonts w:ascii="Tahoma" w:hAnsi="Tahoma" w:cs="Tahoma"/>
                <w:sz w:val="20"/>
                <w:szCs w:val="20"/>
              </w:rPr>
              <w:t xml:space="preserve">Gyulafirátót, </w:t>
            </w:r>
            <w:proofErr w:type="spellStart"/>
            <w:r w:rsidRPr="00F92024">
              <w:rPr>
                <w:rFonts w:ascii="Tahoma" w:hAnsi="Tahoma" w:cs="Tahoma"/>
                <w:sz w:val="20"/>
                <w:szCs w:val="20"/>
              </w:rPr>
              <w:t>Vakcsai</w:t>
            </w:r>
            <w:proofErr w:type="spellEnd"/>
            <w:r w:rsidRPr="00F92024">
              <w:rPr>
                <w:rFonts w:ascii="Tahoma" w:hAnsi="Tahoma" w:cs="Tahoma"/>
                <w:sz w:val="20"/>
                <w:szCs w:val="20"/>
              </w:rPr>
              <w:t xml:space="preserve"> utca 9194/1 hrsz.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F0906" w14:textId="3AB04D27" w:rsidR="00217E1D" w:rsidRPr="00F92024" w:rsidRDefault="00217E1D">
            <w:pPr>
              <w:rPr>
                <w:rFonts w:ascii="Tahoma" w:hAnsi="Tahoma" w:cs="Tahoma"/>
                <w:sz w:val="20"/>
                <w:szCs w:val="20"/>
              </w:rPr>
            </w:pPr>
            <w:r w:rsidRPr="00F92024">
              <w:rPr>
                <w:rFonts w:ascii="Tahoma" w:hAnsi="Tahoma" w:cs="Tahoma"/>
                <w:sz w:val="20"/>
                <w:szCs w:val="20"/>
              </w:rPr>
              <w:t xml:space="preserve">                          3</w:t>
            </w:r>
            <w:r w:rsidR="003656B7">
              <w:rPr>
                <w:rFonts w:ascii="Tahoma" w:hAnsi="Tahoma" w:cs="Tahoma"/>
                <w:sz w:val="20"/>
                <w:szCs w:val="20"/>
              </w:rPr>
              <w:t>3</w:t>
            </w:r>
            <w:r w:rsidRPr="00F92024">
              <w:rPr>
                <w:rFonts w:ascii="Tahoma" w:hAnsi="Tahoma" w:cs="Tahoma"/>
                <w:sz w:val="20"/>
                <w:szCs w:val="20"/>
              </w:rPr>
              <w:t xml:space="preserve"> 100 000,00 Ft </w:t>
            </w:r>
          </w:p>
        </w:tc>
      </w:tr>
      <w:tr w:rsidR="00217E1D" w14:paraId="778C253B" w14:textId="77777777" w:rsidTr="00BA6D32">
        <w:trPr>
          <w:trHeight w:val="280"/>
          <w:jc w:val="center"/>
        </w:trPr>
        <w:tc>
          <w:tcPr>
            <w:tcW w:w="6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B32D7" w14:textId="38DFFD14" w:rsidR="00217E1D" w:rsidRPr="00F92024" w:rsidRDefault="00217E1D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F92024">
              <w:rPr>
                <w:rFonts w:ascii="Tahoma" w:hAnsi="Tahoma" w:cs="Tahoma"/>
                <w:sz w:val="20"/>
                <w:szCs w:val="20"/>
              </w:rPr>
              <w:t>Gyfirátót</w:t>
            </w:r>
            <w:proofErr w:type="spellEnd"/>
            <w:r w:rsidRPr="00F92024">
              <w:rPr>
                <w:rFonts w:ascii="Tahoma" w:hAnsi="Tahoma" w:cs="Tahoma"/>
                <w:sz w:val="20"/>
                <w:szCs w:val="20"/>
              </w:rPr>
              <w:t>, Z</w:t>
            </w:r>
            <w:r w:rsidR="003B7FC2">
              <w:rPr>
                <w:rFonts w:ascii="Tahoma" w:hAnsi="Tahoma" w:cs="Tahoma"/>
                <w:sz w:val="20"/>
                <w:szCs w:val="20"/>
              </w:rPr>
              <w:t>i</w:t>
            </w:r>
            <w:r w:rsidRPr="00F92024">
              <w:rPr>
                <w:rFonts w:ascii="Tahoma" w:hAnsi="Tahoma" w:cs="Tahoma"/>
                <w:sz w:val="20"/>
                <w:szCs w:val="20"/>
              </w:rPr>
              <w:t>rci út 9827 hrsz.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BA3B93" w14:textId="66F0E440" w:rsidR="00217E1D" w:rsidRPr="00F92024" w:rsidRDefault="00217E1D">
            <w:pPr>
              <w:rPr>
                <w:rFonts w:ascii="Tahoma" w:hAnsi="Tahoma" w:cs="Tahoma"/>
                <w:sz w:val="20"/>
                <w:szCs w:val="20"/>
              </w:rPr>
            </w:pPr>
            <w:r w:rsidRPr="00F92024">
              <w:rPr>
                <w:rFonts w:ascii="Tahoma" w:hAnsi="Tahoma" w:cs="Tahoma"/>
                <w:sz w:val="20"/>
                <w:szCs w:val="20"/>
              </w:rPr>
              <w:t xml:space="preserve">                          1</w:t>
            </w:r>
            <w:r w:rsidR="003656B7">
              <w:rPr>
                <w:rFonts w:ascii="Tahoma" w:hAnsi="Tahoma" w:cs="Tahoma"/>
                <w:sz w:val="20"/>
                <w:szCs w:val="20"/>
              </w:rPr>
              <w:t>4</w:t>
            </w:r>
            <w:r w:rsidRPr="00F92024">
              <w:rPr>
                <w:rFonts w:ascii="Tahoma" w:hAnsi="Tahoma" w:cs="Tahoma"/>
                <w:sz w:val="20"/>
                <w:szCs w:val="20"/>
              </w:rPr>
              <w:t xml:space="preserve"> 000 000,00 Ft </w:t>
            </w:r>
          </w:p>
        </w:tc>
      </w:tr>
      <w:tr w:rsidR="00217E1D" w14:paraId="7099686C" w14:textId="77777777" w:rsidTr="00BA6D32">
        <w:trPr>
          <w:trHeight w:val="280"/>
          <w:jc w:val="center"/>
        </w:trPr>
        <w:tc>
          <w:tcPr>
            <w:tcW w:w="6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D366D" w14:textId="5270547A" w:rsidR="00217E1D" w:rsidRPr="00F92024" w:rsidRDefault="00217E1D">
            <w:pPr>
              <w:rPr>
                <w:rFonts w:ascii="Tahoma" w:hAnsi="Tahoma" w:cs="Tahoma"/>
                <w:sz w:val="20"/>
                <w:szCs w:val="20"/>
              </w:rPr>
            </w:pPr>
            <w:r w:rsidRPr="00F92024">
              <w:rPr>
                <w:rFonts w:ascii="Tahoma" w:hAnsi="Tahoma" w:cs="Tahoma"/>
                <w:sz w:val="20"/>
                <w:szCs w:val="20"/>
              </w:rPr>
              <w:t xml:space="preserve">Cholnoky </w:t>
            </w:r>
            <w:r w:rsidR="003B7FC2">
              <w:rPr>
                <w:rFonts w:ascii="Tahoma" w:hAnsi="Tahoma" w:cs="Tahoma"/>
                <w:sz w:val="20"/>
                <w:szCs w:val="20"/>
              </w:rPr>
              <w:t xml:space="preserve">J. u. </w:t>
            </w:r>
            <w:r w:rsidRPr="00F92024">
              <w:rPr>
                <w:rFonts w:ascii="Tahoma" w:hAnsi="Tahoma" w:cs="Tahoma"/>
                <w:sz w:val="20"/>
                <w:szCs w:val="20"/>
              </w:rPr>
              <w:t>11. 4273/105 hrsz. (volt polgárőr hely</w:t>
            </w:r>
            <w:r w:rsidR="003B7FC2">
              <w:rPr>
                <w:rFonts w:ascii="Tahoma" w:hAnsi="Tahoma" w:cs="Tahoma"/>
                <w:sz w:val="20"/>
                <w:szCs w:val="20"/>
              </w:rPr>
              <w:t>i</w:t>
            </w:r>
            <w:r w:rsidRPr="00F92024">
              <w:rPr>
                <w:rFonts w:ascii="Tahoma" w:hAnsi="Tahoma" w:cs="Tahoma"/>
                <w:sz w:val="20"/>
                <w:szCs w:val="20"/>
              </w:rPr>
              <w:t>ség)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9DE651" w14:textId="255BE3D1" w:rsidR="00217E1D" w:rsidRPr="00F92024" w:rsidRDefault="00217E1D">
            <w:pPr>
              <w:rPr>
                <w:rFonts w:ascii="Tahoma" w:hAnsi="Tahoma" w:cs="Tahoma"/>
                <w:sz w:val="20"/>
                <w:szCs w:val="20"/>
              </w:rPr>
            </w:pPr>
            <w:r w:rsidRPr="00F92024">
              <w:rPr>
                <w:rFonts w:ascii="Tahoma" w:hAnsi="Tahoma" w:cs="Tahoma"/>
                <w:sz w:val="20"/>
                <w:szCs w:val="20"/>
              </w:rPr>
              <w:t xml:space="preserve">                          </w:t>
            </w:r>
            <w:r w:rsidR="003656B7">
              <w:rPr>
                <w:rFonts w:ascii="Tahoma" w:hAnsi="Tahoma" w:cs="Tahoma"/>
                <w:sz w:val="20"/>
                <w:szCs w:val="20"/>
              </w:rPr>
              <w:t>35</w:t>
            </w:r>
            <w:r w:rsidRPr="00F92024">
              <w:rPr>
                <w:rFonts w:ascii="Tahoma" w:hAnsi="Tahoma" w:cs="Tahoma"/>
                <w:sz w:val="20"/>
                <w:szCs w:val="20"/>
              </w:rPr>
              <w:t xml:space="preserve"> 000 000,00 Ft </w:t>
            </w:r>
          </w:p>
        </w:tc>
      </w:tr>
      <w:tr w:rsidR="00217E1D" w14:paraId="796B4582" w14:textId="77777777" w:rsidTr="00BA6D32">
        <w:trPr>
          <w:trHeight w:val="280"/>
          <w:jc w:val="center"/>
        </w:trPr>
        <w:tc>
          <w:tcPr>
            <w:tcW w:w="6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7DD83" w14:textId="00688370" w:rsidR="00217E1D" w:rsidRPr="00F92024" w:rsidRDefault="00217E1D">
            <w:pPr>
              <w:rPr>
                <w:rFonts w:ascii="Tahoma" w:hAnsi="Tahoma" w:cs="Tahoma"/>
                <w:sz w:val="20"/>
                <w:szCs w:val="20"/>
              </w:rPr>
            </w:pPr>
            <w:r w:rsidRPr="00F92024">
              <w:rPr>
                <w:rFonts w:ascii="Tahoma" w:hAnsi="Tahoma" w:cs="Tahoma"/>
                <w:sz w:val="20"/>
                <w:szCs w:val="20"/>
              </w:rPr>
              <w:t>Remete/Pajta utca</w:t>
            </w:r>
            <w:r w:rsidR="00FD2039">
              <w:rPr>
                <w:rFonts w:ascii="Tahoma" w:hAnsi="Tahoma" w:cs="Tahoma"/>
                <w:sz w:val="20"/>
                <w:szCs w:val="20"/>
              </w:rPr>
              <w:t xml:space="preserve"> sarkán lévő</w:t>
            </w:r>
            <w:r w:rsidRPr="00F92024">
              <w:rPr>
                <w:rFonts w:ascii="Tahoma" w:hAnsi="Tahoma" w:cs="Tahoma"/>
                <w:sz w:val="20"/>
                <w:szCs w:val="20"/>
              </w:rPr>
              <w:t xml:space="preserve"> volt </w:t>
            </w:r>
            <w:proofErr w:type="spellStart"/>
            <w:r w:rsidRPr="00F92024">
              <w:rPr>
                <w:rFonts w:ascii="Tahoma" w:hAnsi="Tahoma" w:cs="Tahoma"/>
                <w:sz w:val="20"/>
                <w:szCs w:val="20"/>
              </w:rPr>
              <w:t>szoc</w:t>
            </w:r>
            <w:proofErr w:type="spellEnd"/>
            <w:r w:rsidRPr="00F92024">
              <w:rPr>
                <w:rFonts w:ascii="Tahoma" w:hAnsi="Tahoma" w:cs="Tahoma"/>
                <w:sz w:val="20"/>
                <w:szCs w:val="20"/>
              </w:rPr>
              <w:t>.</w:t>
            </w:r>
            <w:r w:rsidR="003B7FC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92024">
              <w:rPr>
                <w:rFonts w:ascii="Tahoma" w:hAnsi="Tahoma" w:cs="Tahoma"/>
                <w:sz w:val="20"/>
                <w:szCs w:val="20"/>
              </w:rPr>
              <w:t>lakások 358/1 hrsz.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9C22F" w14:textId="77777777" w:rsidR="00217E1D" w:rsidRPr="00F92024" w:rsidRDefault="00217E1D">
            <w:pPr>
              <w:rPr>
                <w:rFonts w:ascii="Tahoma" w:hAnsi="Tahoma" w:cs="Tahoma"/>
                <w:sz w:val="20"/>
                <w:szCs w:val="20"/>
              </w:rPr>
            </w:pPr>
            <w:r w:rsidRPr="00F92024">
              <w:rPr>
                <w:rFonts w:ascii="Tahoma" w:hAnsi="Tahoma" w:cs="Tahoma"/>
                <w:sz w:val="20"/>
                <w:szCs w:val="20"/>
              </w:rPr>
              <w:t xml:space="preserve">                        105 000 000,00 Ft </w:t>
            </w:r>
          </w:p>
        </w:tc>
      </w:tr>
      <w:tr w:rsidR="00217E1D" w14:paraId="6C3F914D" w14:textId="77777777" w:rsidTr="00BA6D32">
        <w:trPr>
          <w:trHeight w:val="280"/>
          <w:jc w:val="center"/>
        </w:trPr>
        <w:tc>
          <w:tcPr>
            <w:tcW w:w="6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69486" w14:textId="159D941B" w:rsidR="00217E1D" w:rsidRPr="00F92024" w:rsidRDefault="00217E1D">
            <w:pPr>
              <w:rPr>
                <w:rFonts w:ascii="Tahoma" w:hAnsi="Tahoma" w:cs="Tahoma"/>
                <w:sz w:val="20"/>
                <w:szCs w:val="20"/>
              </w:rPr>
            </w:pPr>
            <w:r w:rsidRPr="00F92024">
              <w:rPr>
                <w:rFonts w:ascii="Tahoma" w:hAnsi="Tahoma" w:cs="Tahoma"/>
                <w:sz w:val="20"/>
                <w:szCs w:val="20"/>
              </w:rPr>
              <w:t>Sólyi utca 4086/92 hrsz.</w:t>
            </w:r>
            <w:r w:rsidR="00812848">
              <w:rPr>
                <w:rFonts w:ascii="Tahoma" w:hAnsi="Tahoma" w:cs="Tahoma"/>
                <w:sz w:val="20"/>
                <w:szCs w:val="20"/>
              </w:rPr>
              <w:t xml:space="preserve"> ráépítés pályáztatása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8C9BBD" w14:textId="77777777" w:rsidR="00217E1D" w:rsidRPr="00F92024" w:rsidRDefault="00217E1D">
            <w:pPr>
              <w:rPr>
                <w:rFonts w:ascii="Tahoma" w:hAnsi="Tahoma" w:cs="Tahoma"/>
                <w:sz w:val="20"/>
                <w:szCs w:val="20"/>
              </w:rPr>
            </w:pPr>
            <w:r w:rsidRPr="00F92024">
              <w:rPr>
                <w:rFonts w:ascii="Tahoma" w:hAnsi="Tahoma" w:cs="Tahoma"/>
                <w:sz w:val="20"/>
                <w:szCs w:val="20"/>
              </w:rPr>
              <w:t xml:space="preserve">                          90 000 000,00 Ft </w:t>
            </w:r>
          </w:p>
        </w:tc>
      </w:tr>
      <w:tr w:rsidR="00217E1D" w14:paraId="1628AFFB" w14:textId="77777777" w:rsidTr="00BA6D32">
        <w:trPr>
          <w:trHeight w:val="280"/>
          <w:jc w:val="center"/>
        </w:trPr>
        <w:tc>
          <w:tcPr>
            <w:tcW w:w="6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62989" w14:textId="3D11E743" w:rsidR="00217E1D" w:rsidRPr="00F92024" w:rsidRDefault="00217E1D">
            <w:pPr>
              <w:rPr>
                <w:rFonts w:ascii="Tahoma" w:hAnsi="Tahoma" w:cs="Tahoma"/>
                <w:sz w:val="20"/>
                <w:szCs w:val="20"/>
              </w:rPr>
            </w:pPr>
            <w:r w:rsidRPr="00F92024">
              <w:rPr>
                <w:rFonts w:ascii="Tahoma" w:hAnsi="Tahoma" w:cs="Tahoma"/>
                <w:sz w:val="20"/>
                <w:szCs w:val="20"/>
              </w:rPr>
              <w:t xml:space="preserve">Déli </w:t>
            </w:r>
            <w:proofErr w:type="spellStart"/>
            <w:r w:rsidR="003B7FC2">
              <w:rPr>
                <w:rFonts w:ascii="Tahoma" w:hAnsi="Tahoma" w:cs="Tahoma"/>
                <w:sz w:val="20"/>
                <w:szCs w:val="20"/>
              </w:rPr>
              <w:t>I</w:t>
            </w:r>
            <w:r w:rsidRPr="00F92024">
              <w:rPr>
                <w:rFonts w:ascii="Tahoma" w:hAnsi="Tahoma" w:cs="Tahoma"/>
                <w:sz w:val="20"/>
                <w:szCs w:val="20"/>
              </w:rPr>
              <w:t>nt</w:t>
            </w:r>
            <w:r w:rsidR="00812848">
              <w:rPr>
                <w:rFonts w:ascii="Tahoma" w:hAnsi="Tahoma" w:cs="Tahoma"/>
                <w:sz w:val="20"/>
                <w:szCs w:val="20"/>
              </w:rPr>
              <w:t>ézmény</w:t>
            </w:r>
            <w:r w:rsidRPr="00F92024">
              <w:rPr>
                <w:rFonts w:ascii="Tahoma" w:hAnsi="Tahoma" w:cs="Tahoma"/>
                <w:sz w:val="20"/>
                <w:szCs w:val="20"/>
              </w:rPr>
              <w:t>közp</w:t>
            </w:r>
            <w:proofErr w:type="spellEnd"/>
            <w:r w:rsidR="00812848">
              <w:rPr>
                <w:rFonts w:ascii="Tahoma" w:hAnsi="Tahoma" w:cs="Tahoma"/>
                <w:sz w:val="20"/>
                <w:szCs w:val="20"/>
              </w:rPr>
              <w:t>.</w:t>
            </w:r>
            <w:r w:rsidRPr="00F92024">
              <w:rPr>
                <w:rFonts w:ascii="Tahoma" w:hAnsi="Tahoma" w:cs="Tahoma"/>
                <w:sz w:val="20"/>
                <w:szCs w:val="20"/>
              </w:rPr>
              <w:t xml:space="preserve"> 0432/2</w:t>
            </w:r>
            <w:r w:rsidR="0081284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B7FC2">
              <w:rPr>
                <w:rFonts w:ascii="Tahoma" w:hAnsi="Tahoma" w:cs="Tahoma"/>
                <w:sz w:val="20"/>
                <w:szCs w:val="20"/>
              </w:rPr>
              <w:t xml:space="preserve">hrsz. </w:t>
            </w:r>
            <w:r w:rsidR="00812848">
              <w:rPr>
                <w:rFonts w:ascii="Tahoma" w:hAnsi="Tahoma" w:cs="Tahoma"/>
                <w:sz w:val="20"/>
                <w:szCs w:val="20"/>
              </w:rPr>
              <w:t>(pályáztatás most indul)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6462A2" w14:textId="77777777" w:rsidR="00217E1D" w:rsidRPr="00F92024" w:rsidRDefault="00217E1D">
            <w:pPr>
              <w:rPr>
                <w:rFonts w:ascii="Tahoma" w:hAnsi="Tahoma" w:cs="Tahoma"/>
                <w:sz w:val="20"/>
                <w:szCs w:val="20"/>
              </w:rPr>
            </w:pPr>
            <w:r w:rsidRPr="00F92024">
              <w:rPr>
                <w:rFonts w:ascii="Tahoma" w:hAnsi="Tahoma" w:cs="Tahoma"/>
                <w:sz w:val="20"/>
                <w:szCs w:val="20"/>
              </w:rPr>
              <w:t xml:space="preserve">                          15 000 000,00 Ft </w:t>
            </w:r>
          </w:p>
        </w:tc>
      </w:tr>
      <w:tr w:rsidR="00217E1D" w14:paraId="6B155C0F" w14:textId="77777777" w:rsidTr="00BA6D32">
        <w:trPr>
          <w:trHeight w:val="280"/>
          <w:jc w:val="center"/>
        </w:trPr>
        <w:tc>
          <w:tcPr>
            <w:tcW w:w="6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3DC78" w14:textId="3135992A" w:rsidR="00217E1D" w:rsidRPr="00F92024" w:rsidRDefault="00217E1D">
            <w:pPr>
              <w:rPr>
                <w:rFonts w:ascii="Tahoma" w:hAnsi="Tahoma" w:cs="Tahoma"/>
                <w:sz w:val="20"/>
                <w:szCs w:val="20"/>
              </w:rPr>
            </w:pPr>
            <w:r w:rsidRPr="00F92024">
              <w:rPr>
                <w:rFonts w:ascii="Tahoma" w:hAnsi="Tahoma" w:cs="Tahoma"/>
                <w:sz w:val="20"/>
                <w:szCs w:val="20"/>
              </w:rPr>
              <w:t>Látóhegyi telekosztás (</w:t>
            </w:r>
            <w:r w:rsidR="003B7FC2">
              <w:rPr>
                <w:rFonts w:ascii="Tahoma" w:hAnsi="Tahoma" w:cs="Tahoma"/>
                <w:sz w:val="20"/>
                <w:szCs w:val="20"/>
              </w:rPr>
              <w:t xml:space="preserve">Veszprém </w:t>
            </w:r>
            <w:r w:rsidRPr="00F92024">
              <w:rPr>
                <w:rFonts w:ascii="Tahoma" w:hAnsi="Tahoma" w:cs="Tahoma"/>
                <w:sz w:val="20"/>
                <w:szCs w:val="20"/>
              </w:rPr>
              <w:t xml:space="preserve">02/175 hrsz.) 1 db </w:t>
            </w:r>
            <w:r w:rsidR="00812848">
              <w:rPr>
                <w:rFonts w:ascii="Tahoma" w:hAnsi="Tahoma" w:cs="Tahoma"/>
                <w:sz w:val="20"/>
                <w:szCs w:val="20"/>
              </w:rPr>
              <w:t>magánút ingatlan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5DA87B" w14:textId="0F03E585" w:rsidR="00217E1D" w:rsidRPr="00F92024" w:rsidRDefault="00217E1D">
            <w:pPr>
              <w:rPr>
                <w:rFonts w:ascii="Tahoma" w:hAnsi="Tahoma" w:cs="Tahoma"/>
                <w:sz w:val="20"/>
                <w:szCs w:val="20"/>
              </w:rPr>
            </w:pPr>
            <w:r w:rsidRPr="00F92024">
              <w:rPr>
                <w:rFonts w:ascii="Tahoma" w:hAnsi="Tahoma" w:cs="Tahoma"/>
                <w:sz w:val="20"/>
                <w:szCs w:val="20"/>
              </w:rPr>
              <w:t xml:space="preserve">                            </w:t>
            </w:r>
            <w:r w:rsidR="003656B7">
              <w:rPr>
                <w:rFonts w:ascii="Tahoma" w:hAnsi="Tahoma" w:cs="Tahoma"/>
                <w:sz w:val="20"/>
                <w:szCs w:val="20"/>
              </w:rPr>
              <w:t>1</w:t>
            </w:r>
            <w:r w:rsidRPr="00F92024">
              <w:rPr>
                <w:rFonts w:ascii="Tahoma" w:hAnsi="Tahoma" w:cs="Tahoma"/>
                <w:sz w:val="20"/>
                <w:szCs w:val="20"/>
              </w:rPr>
              <w:t xml:space="preserve"> 000 000,00 Ft </w:t>
            </w:r>
          </w:p>
        </w:tc>
      </w:tr>
      <w:tr w:rsidR="00217E1D" w14:paraId="25240735" w14:textId="77777777" w:rsidTr="00BA6D32">
        <w:trPr>
          <w:trHeight w:val="280"/>
          <w:jc w:val="center"/>
        </w:trPr>
        <w:tc>
          <w:tcPr>
            <w:tcW w:w="6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9A283" w14:textId="380246A3" w:rsidR="00217E1D" w:rsidRPr="00F92024" w:rsidRDefault="00217E1D">
            <w:pPr>
              <w:rPr>
                <w:rFonts w:ascii="Tahoma" w:hAnsi="Tahoma" w:cs="Tahoma"/>
                <w:sz w:val="20"/>
                <w:szCs w:val="20"/>
              </w:rPr>
            </w:pPr>
            <w:r w:rsidRPr="00F92024">
              <w:rPr>
                <w:rFonts w:ascii="Tahoma" w:hAnsi="Tahoma" w:cs="Tahoma"/>
                <w:sz w:val="20"/>
                <w:szCs w:val="20"/>
              </w:rPr>
              <w:t>Fenyves utca 2460/1 hrsz.</w:t>
            </w:r>
            <w:r w:rsidR="00812848">
              <w:rPr>
                <w:rFonts w:ascii="Tahoma" w:hAnsi="Tahoma" w:cs="Tahoma"/>
                <w:sz w:val="20"/>
                <w:szCs w:val="20"/>
              </w:rPr>
              <w:t>, építési telek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C4732" w14:textId="73BBBDBA" w:rsidR="00217E1D" w:rsidRPr="00F92024" w:rsidRDefault="00217E1D">
            <w:pPr>
              <w:rPr>
                <w:rFonts w:ascii="Tahoma" w:hAnsi="Tahoma" w:cs="Tahoma"/>
                <w:sz w:val="20"/>
                <w:szCs w:val="20"/>
              </w:rPr>
            </w:pPr>
            <w:r w:rsidRPr="00F92024">
              <w:rPr>
                <w:rFonts w:ascii="Tahoma" w:hAnsi="Tahoma" w:cs="Tahoma"/>
                <w:sz w:val="20"/>
                <w:szCs w:val="20"/>
              </w:rPr>
              <w:t xml:space="preserve">                          2</w:t>
            </w:r>
            <w:r w:rsidR="003656B7">
              <w:rPr>
                <w:rFonts w:ascii="Tahoma" w:hAnsi="Tahoma" w:cs="Tahoma"/>
                <w:sz w:val="20"/>
                <w:szCs w:val="20"/>
              </w:rPr>
              <w:t>8</w:t>
            </w:r>
            <w:r w:rsidRPr="00F9202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656B7">
              <w:rPr>
                <w:rFonts w:ascii="Tahoma" w:hAnsi="Tahoma" w:cs="Tahoma"/>
                <w:sz w:val="20"/>
                <w:szCs w:val="20"/>
              </w:rPr>
              <w:t>5</w:t>
            </w:r>
            <w:r w:rsidRPr="00F92024">
              <w:rPr>
                <w:rFonts w:ascii="Tahoma" w:hAnsi="Tahoma" w:cs="Tahoma"/>
                <w:sz w:val="20"/>
                <w:szCs w:val="20"/>
              </w:rPr>
              <w:t xml:space="preserve">00 000,00 Ft </w:t>
            </w:r>
          </w:p>
        </w:tc>
      </w:tr>
      <w:tr w:rsidR="00217E1D" w14:paraId="6975778A" w14:textId="77777777" w:rsidTr="00BA6D32">
        <w:trPr>
          <w:trHeight w:val="280"/>
          <w:jc w:val="center"/>
        </w:trPr>
        <w:tc>
          <w:tcPr>
            <w:tcW w:w="6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53F03" w14:textId="62064253" w:rsidR="00217E1D" w:rsidRPr="00F92024" w:rsidRDefault="003B7FC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Veszprém </w:t>
            </w:r>
            <w:r w:rsidR="00217E1D" w:rsidRPr="00F92024">
              <w:rPr>
                <w:rFonts w:ascii="Tahoma" w:hAnsi="Tahoma" w:cs="Tahoma"/>
                <w:sz w:val="20"/>
                <w:szCs w:val="20"/>
              </w:rPr>
              <w:t>3043 hrsz. Aradi Vértanuk u./volt transzformátor épülete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F5038" w14:textId="06C5DD67" w:rsidR="00217E1D" w:rsidRPr="00F92024" w:rsidRDefault="00217E1D">
            <w:pPr>
              <w:rPr>
                <w:rFonts w:ascii="Tahoma" w:hAnsi="Tahoma" w:cs="Tahoma"/>
                <w:sz w:val="20"/>
                <w:szCs w:val="20"/>
              </w:rPr>
            </w:pPr>
            <w:r w:rsidRPr="00F92024">
              <w:rPr>
                <w:rFonts w:ascii="Tahoma" w:hAnsi="Tahoma" w:cs="Tahoma"/>
                <w:sz w:val="20"/>
                <w:szCs w:val="20"/>
              </w:rPr>
              <w:t xml:space="preserve">                          </w:t>
            </w:r>
            <w:r w:rsidR="003656B7">
              <w:rPr>
                <w:rFonts w:ascii="Tahoma" w:hAnsi="Tahoma" w:cs="Tahoma"/>
                <w:sz w:val="20"/>
                <w:szCs w:val="20"/>
              </w:rPr>
              <w:t>7</w:t>
            </w:r>
            <w:r w:rsidRPr="00F92024">
              <w:rPr>
                <w:rFonts w:ascii="Tahoma" w:hAnsi="Tahoma" w:cs="Tahoma"/>
                <w:sz w:val="20"/>
                <w:szCs w:val="20"/>
              </w:rPr>
              <w:t xml:space="preserve">0 000 000,00 Ft </w:t>
            </w:r>
          </w:p>
        </w:tc>
      </w:tr>
      <w:tr w:rsidR="00217E1D" w14:paraId="3A1CD456" w14:textId="77777777" w:rsidTr="00BA6D32">
        <w:trPr>
          <w:trHeight w:val="280"/>
          <w:jc w:val="center"/>
        </w:trPr>
        <w:tc>
          <w:tcPr>
            <w:tcW w:w="6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7EB6F" w14:textId="0D27B963" w:rsidR="00217E1D" w:rsidRPr="00F92024" w:rsidRDefault="003B7FC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Veszprém </w:t>
            </w:r>
            <w:r w:rsidR="00217E1D" w:rsidRPr="00F92024">
              <w:rPr>
                <w:rFonts w:ascii="Tahoma" w:hAnsi="Tahoma" w:cs="Tahoma"/>
                <w:sz w:val="20"/>
                <w:szCs w:val="20"/>
              </w:rPr>
              <w:t>9109 és 9110 hrsz. Gyulafirátót, Zirci út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8FD64B" w14:textId="6BA90E55" w:rsidR="00217E1D" w:rsidRPr="00F92024" w:rsidRDefault="00217E1D">
            <w:pPr>
              <w:rPr>
                <w:rFonts w:ascii="Tahoma" w:hAnsi="Tahoma" w:cs="Tahoma"/>
                <w:sz w:val="20"/>
                <w:szCs w:val="20"/>
              </w:rPr>
            </w:pPr>
            <w:r w:rsidRPr="00F92024">
              <w:rPr>
                <w:rFonts w:ascii="Tahoma" w:hAnsi="Tahoma" w:cs="Tahoma"/>
                <w:sz w:val="20"/>
                <w:szCs w:val="20"/>
              </w:rPr>
              <w:t xml:space="preserve">                            2 </w:t>
            </w:r>
            <w:r w:rsidR="003656B7">
              <w:rPr>
                <w:rFonts w:ascii="Tahoma" w:hAnsi="Tahoma" w:cs="Tahoma"/>
                <w:sz w:val="20"/>
                <w:szCs w:val="20"/>
              </w:rPr>
              <w:t>9</w:t>
            </w:r>
            <w:r w:rsidRPr="00F92024">
              <w:rPr>
                <w:rFonts w:ascii="Tahoma" w:hAnsi="Tahoma" w:cs="Tahoma"/>
                <w:sz w:val="20"/>
                <w:szCs w:val="20"/>
              </w:rPr>
              <w:t xml:space="preserve">00 000,00 Ft </w:t>
            </w:r>
          </w:p>
        </w:tc>
      </w:tr>
      <w:tr w:rsidR="00217E1D" w14:paraId="075D7315" w14:textId="77777777" w:rsidTr="00BA6D32">
        <w:trPr>
          <w:trHeight w:val="280"/>
          <w:jc w:val="center"/>
        </w:trPr>
        <w:tc>
          <w:tcPr>
            <w:tcW w:w="6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ABFF4" w14:textId="2C4199E4" w:rsidR="00217E1D" w:rsidRPr="00F92024" w:rsidRDefault="003B7FC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Veszprém </w:t>
            </w:r>
            <w:r w:rsidR="00217E1D" w:rsidRPr="00F92024">
              <w:rPr>
                <w:rFonts w:ascii="Tahoma" w:hAnsi="Tahoma" w:cs="Tahoma"/>
                <w:sz w:val="20"/>
                <w:szCs w:val="20"/>
              </w:rPr>
              <w:t xml:space="preserve">4273/51/A/25 </w:t>
            </w:r>
            <w:r>
              <w:rPr>
                <w:rFonts w:ascii="Tahoma" w:hAnsi="Tahoma" w:cs="Tahoma"/>
                <w:sz w:val="20"/>
                <w:szCs w:val="20"/>
              </w:rPr>
              <w:t xml:space="preserve">hrsz. </w:t>
            </w:r>
            <w:r w:rsidR="00217E1D" w:rsidRPr="00F92024">
              <w:rPr>
                <w:rFonts w:ascii="Tahoma" w:hAnsi="Tahoma" w:cs="Tahoma"/>
                <w:sz w:val="20"/>
                <w:szCs w:val="20"/>
              </w:rPr>
              <w:t>Ady Endre utca volt posta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72F63D" w14:textId="00B4ABBB" w:rsidR="00217E1D" w:rsidRPr="00F92024" w:rsidRDefault="00217E1D">
            <w:pPr>
              <w:rPr>
                <w:rFonts w:ascii="Tahoma" w:hAnsi="Tahoma" w:cs="Tahoma"/>
                <w:sz w:val="20"/>
                <w:szCs w:val="20"/>
              </w:rPr>
            </w:pPr>
            <w:r w:rsidRPr="00F92024">
              <w:rPr>
                <w:rFonts w:ascii="Tahoma" w:hAnsi="Tahoma" w:cs="Tahoma"/>
                <w:sz w:val="20"/>
                <w:szCs w:val="20"/>
              </w:rPr>
              <w:t xml:space="preserve">                          </w:t>
            </w:r>
            <w:r w:rsidR="003656B7">
              <w:rPr>
                <w:rFonts w:ascii="Tahoma" w:hAnsi="Tahoma" w:cs="Tahoma"/>
                <w:sz w:val="20"/>
                <w:szCs w:val="20"/>
              </w:rPr>
              <w:t>49</w:t>
            </w:r>
            <w:r w:rsidRPr="00F9202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656B7">
              <w:rPr>
                <w:rFonts w:ascii="Tahoma" w:hAnsi="Tahoma" w:cs="Tahoma"/>
                <w:sz w:val="20"/>
                <w:szCs w:val="20"/>
              </w:rPr>
              <w:t>5</w:t>
            </w:r>
            <w:r w:rsidRPr="00F92024">
              <w:rPr>
                <w:rFonts w:ascii="Tahoma" w:hAnsi="Tahoma" w:cs="Tahoma"/>
                <w:sz w:val="20"/>
                <w:szCs w:val="20"/>
              </w:rPr>
              <w:t xml:space="preserve">00 000,00 Ft </w:t>
            </w:r>
          </w:p>
        </w:tc>
      </w:tr>
      <w:tr w:rsidR="00217E1D" w14:paraId="4DC6431A" w14:textId="77777777" w:rsidTr="00BA6D32">
        <w:trPr>
          <w:trHeight w:val="568"/>
          <w:jc w:val="center"/>
        </w:trPr>
        <w:tc>
          <w:tcPr>
            <w:tcW w:w="6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D8C5BA" w14:textId="77777777" w:rsidR="00217E1D" w:rsidRDefault="00217E1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Összesen: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261A28" w14:textId="7C3C71F5" w:rsidR="00217E1D" w:rsidRDefault="00217E1D">
            <w:pPr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 w:cs="Arial CE"/>
                <w:b/>
                <w:bCs/>
                <w:sz w:val="22"/>
                <w:szCs w:val="22"/>
              </w:rPr>
              <w:t xml:space="preserve">     </w:t>
            </w:r>
            <w:r w:rsidR="00647012">
              <w:rPr>
                <w:rFonts w:ascii="Arial CE" w:hAnsi="Arial CE" w:cs="Arial CE"/>
                <w:b/>
                <w:bCs/>
                <w:sz w:val="22"/>
                <w:szCs w:val="22"/>
              </w:rPr>
              <w:t xml:space="preserve">                 </w:t>
            </w:r>
            <w:r w:rsidR="003656B7">
              <w:rPr>
                <w:rFonts w:ascii="Arial CE" w:hAnsi="Arial CE" w:cs="Arial CE"/>
                <w:b/>
                <w:bCs/>
                <w:sz w:val="22"/>
                <w:szCs w:val="22"/>
              </w:rPr>
              <w:t>510</w:t>
            </w:r>
            <w:r>
              <w:rPr>
                <w:rFonts w:ascii="Arial CE" w:hAnsi="Arial CE" w:cs="Arial CE"/>
                <w:b/>
                <w:bCs/>
                <w:sz w:val="22"/>
                <w:szCs w:val="22"/>
              </w:rPr>
              <w:t xml:space="preserve"> </w:t>
            </w:r>
            <w:r w:rsidR="003656B7">
              <w:rPr>
                <w:rFonts w:ascii="Arial CE" w:hAnsi="Arial CE" w:cs="Arial CE"/>
                <w:b/>
                <w:bCs/>
                <w:sz w:val="22"/>
                <w:szCs w:val="22"/>
              </w:rPr>
              <w:t>5</w:t>
            </w:r>
            <w:r>
              <w:rPr>
                <w:rFonts w:ascii="Arial CE" w:hAnsi="Arial CE" w:cs="Arial CE"/>
                <w:b/>
                <w:bCs/>
                <w:sz w:val="22"/>
                <w:szCs w:val="22"/>
              </w:rPr>
              <w:t xml:space="preserve">00 000,00 Ft </w:t>
            </w:r>
          </w:p>
        </w:tc>
      </w:tr>
    </w:tbl>
    <w:p w14:paraId="71D6DA20" w14:textId="77777777" w:rsidR="00BB62E3" w:rsidRDefault="00BB62E3" w:rsidP="00E002F6">
      <w:pPr>
        <w:jc w:val="both"/>
        <w:rPr>
          <w:rFonts w:ascii="Tahoma" w:hAnsi="Tahoma" w:cs="Tahoma"/>
          <w:sz w:val="22"/>
          <w:szCs w:val="22"/>
        </w:rPr>
      </w:pPr>
    </w:p>
    <w:p w14:paraId="7D2F1B0C" w14:textId="77777777" w:rsidR="00D26CBF" w:rsidRDefault="00D26CBF" w:rsidP="00E002F6">
      <w:pPr>
        <w:jc w:val="both"/>
        <w:rPr>
          <w:rFonts w:ascii="Tahoma" w:hAnsi="Tahoma" w:cs="Tahoma"/>
          <w:sz w:val="22"/>
          <w:szCs w:val="22"/>
        </w:rPr>
      </w:pPr>
    </w:p>
    <w:p w14:paraId="411AFB20" w14:textId="72A1499C" w:rsidR="00D26CBF" w:rsidRPr="00D26CBF" w:rsidRDefault="00D26CBF" w:rsidP="00D26CBF">
      <w:pPr>
        <w:jc w:val="both"/>
        <w:rPr>
          <w:rFonts w:ascii="Tahoma" w:hAnsi="Tahoma" w:cs="Tahoma"/>
          <w:sz w:val="22"/>
          <w:szCs w:val="22"/>
        </w:rPr>
      </w:pPr>
      <w:bookmarkStart w:id="3" w:name="_Hlk213070858"/>
      <w:r w:rsidRPr="00D26CBF">
        <w:rPr>
          <w:rFonts w:ascii="Tahoma" w:hAnsi="Tahoma" w:cs="Tahoma"/>
          <w:sz w:val="22"/>
          <w:szCs w:val="22"/>
        </w:rPr>
        <w:t>A</w:t>
      </w:r>
      <w:r>
        <w:rPr>
          <w:rFonts w:ascii="Tahoma" w:hAnsi="Tahoma" w:cs="Tahoma"/>
          <w:sz w:val="22"/>
          <w:szCs w:val="22"/>
        </w:rPr>
        <w:t xml:space="preserve">z </w:t>
      </w:r>
      <w:r w:rsidR="006614D9">
        <w:rPr>
          <w:rFonts w:ascii="Tahoma" w:hAnsi="Tahoma" w:cs="Tahoma"/>
          <w:sz w:val="22"/>
          <w:szCs w:val="22"/>
        </w:rPr>
        <w:t xml:space="preserve">eddigi eredménytelen értékesítési kísérletekre figyelemmel, az </w:t>
      </w:r>
      <w:r>
        <w:rPr>
          <w:rFonts w:ascii="Tahoma" w:hAnsi="Tahoma" w:cs="Tahoma"/>
          <w:sz w:val="22"/>
          <w:szCs w:val="22"/>
        </w:rPr>
        <w:t xml:space="preserve">óvatos tervezés elvének és a </w:t>
      </w:r>
      <w:r w:rsidRPr="00D26CBF">
        <w:rPr>
          <w:rFonts w:ascii="Tahoma" w:hAnsi="Tahoma" w:cs="Tahoma"/>
          <w:sz w:val="22"/>
          <w:szCs w:val="22"/>
        </w:rPr>
        <w:t>leírtak</w:t>
      </w:r>
      <w:r>
        <w:rPr>
          <w:rFonts w:ascii="Tahoma" w:hAnsi="Tahoma" w:cs="Tahoma"/>
          <w:sz w:val="22"/>
          <w:szCs w:val="22"/>
        </w:rPr>
        <w:t>nak megfelelve</w:t>
      </w:r>
      <w:r w:rsidR="006B6467">
        <w:rPr>
          <w:rFonts w:ascii="Tahoma" w:hAnsi="Tahoma" w:cs="Tahoma"/>
          <w:sz w:val="22"/>
          <w:szCs w:val="22"/>
        </w:rPr>
        <w:t>, va</w:t>
      </w:r>
      <w:r w:rsidR="005A4A8F">
        <w:rPr>
          <w:rFonts w:ascii="Tahoma" w:hAnsi="Tahoma" w:cs="Tahoma"/>
          <w:sz w:val="22"/>
          <w:szCs w:val="22"/>
        </w:rPr>
        <w:t>l</w:t>
      </w:r>
      <w:r w:rsidR="006B6467">
        <w:rPr>
          <w:rFonts w:ascii="Tahoma" w:hAnsi="Tahoma" w:cs="Tahoma"/>
          <w:sz w:val="22"/>
          <w:szCs w:val="22"/>
        </w:rPr>
        <w:t>amint</w:t>
      </w:r>
      <w:r w:rsidR="006614D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a pályáztatások várható kimenetelére tekintettel </w:t>
      </w:r>
      <w:r w:rsidRPr="00D26CBF">
        <w:rPr>
          <w:rFonts w:ascii="Tahoma" w:hAnsi="Tahoma" w:cs="Tahoma"/>
          <w:sz w:val="22"/>
          <w:szCs w:val="22"/>
        </w:rPr>
        <w:t xml:space="preserve">a 2026. évben a vagyongazdálkodási </w:t>
      </w:r>
      <w:r w:rsidRPr="00A53CFB">
        <w:rPr>
          <w:rFonts w:ascii="Tahoma" w:hAnsi="Tahoma" w:cs="Tahoma"/>
          <w:sz w:val="22"/>
          <w:szCs w:val="22"/>
        </w:rPr>
        <w:t xml:space="preserve">irányelvek keretében az ingatlanértékesítési tevékenységből befolyó bevételeket javasoljuk </w:t>
      </w:r>
      <w:r w:rsidR="00A53CFB" w:rsidRPr="00A53CFB">
        <w:rPr>
          <w:rFonts w:ascii="Tahoma" w:hAnsi="Tahoma" w:cs="Tahoma"/>
          <w:sz w:val="22"/>
          <w:szCs w:val="22"/>
        </w:rPr>
        <w:t>25</w:t>
      </w:r>
      <w:r w:rsidRPr="00A53CFB">
        <w:rPr>
          <w:rFonts w:ascii="Tahoma" w:hAnsi="Tahoma" w:cs="Tahoma"/>
          <w:sz w:val="22"/>
          <w:szCs w:val="22"/>
        </w:rPr>
        <w:t>0 millió forintban meghatározni</w:t>
      </w:r>
      <w:r>
        <w:rPr>
          <w:rFonts w:ascii="Tahoma" w:hAnsi="Tahoma" w:cs="Tahoma"/>
          <w:sz w:val="22"/>
          <w:szCs w:val="22"/>
        </w:rPr>
        <w:t>.</w:t>
      </w:r>
    </w:p>
    <w:bookmarkEnd w:id="3"/>
    <w:p w14:paraId="5B3C4C84" w14:textId="77777777" w:rsidR="00D26CBF" w:rsidRPr="005E23C0" w:rsidRDefault="00D26CBF" w:rsidP="00E002F6">
      <w:pPr>
        <w:jc w:val="both"/>
        <w:rPr>
          <w:rFonts w:ascii="Tahoma" w:hAnsi="Tahoma" w:cs="Tahoma"/>
          <w:sz w:val="22"/>
          <w:szCs w:val="22"/>
        </w:rPr>
      </w:pPr>
    </w:p>
    <w:p w14:paraId="7FE23AA4" w14:textId="77777777" w:rsidR="00E002F6" w:rsidRPr="005E23C0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14:paraId="24F09F7E" w14:textId="77777777" w:rsidR="00E002F6" w:rsidRPr="005E23C0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bCs/>
          <w:sz w:val="22"/>
          <w:szCs w:val="22"/>
          <w:u w:val="single"/>
        </w:rPr>
      </w:pPr>
      <w:r w:rsidRPr="005E23C0">
        <w:rPr>
          <w:rFonts w:ascii="Tahoma" w:hAnsi="Tahoma" w:cs="Tahoma"/>
          <w:bCs/>
          <w:sz w:val="22"/>
          <w:szCs w:val="22"/>
          <w:u w:val="single"/>
        </w:rPr>
        <w:t>Ingatlan vagyon hasznosítása:</w:t>
      </w:r>
    </w:p>
    <w:p w14:paraId="3E235D32" w14:textId="77777777" w:rsidR="00E002F6" w:rsidRPr="005E23C0" w:rsidRDefault="00E002F6" w:rsidP="00E002F6">
      <w:pPr>
        <w:jc w:val="both"/>
        <w:rPr>
          <w:rFonts w:ascii="Tahoma" w:hAnsi="Tahoma" w:cs="Tahoma"/>
          <w:sz w:val="22"/>
          <w:szCs w:val="22"/>
        </w:rPr>
      </w:pPr>
    </w:p>
    <w:p w14:paraId="6DBB1862" w14:textId="77777777" w:rsidR="00E002F6" w:rsidRPr="005E23C0" w:rsidRDefault="00E002F6" w:rsidP="00E002F6">
      <w:pPr>
        <w:jc w:val="both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t>Veszprém Megyei Jogú Város Önkormányzatát a benyújtott pályázata és a nemzetközi bíráló bizottság által lefolytatott kiválasztási folyamat alapján Magyarország Kormánya kijelölte az Európa Kulturális Fővárosa 2023 cím viselésére.</w:t>
      </w:r>
    </w:p>
    <w:p w14:paraId="799233A8" w14:textId="5196C1AC" w:rsidR="00E002F6" w:rsidRPr="005E23C0" w:rsidRDefault="00B05B03" w:rsidP="00E002F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A pályázatban foglalt program végrehajtásával új közösségi terek és kulturális szolgáltatások jöttek létre, és ennek </w:t>
      </w:r>
      <w:r w:rsidR="00E002F6" w:rsidRPr="005E23C0">
        <w:rPr>
          <w:rFonts w:ascii="Tahoma" w:hAnsi="Tahoma" w:cs="Tahoma"/>
          <w:sz w:val="22"/>
          <w:szCs w:val="22"/>
        </w:rPr>
        <w:t>köszönhető, hogy a vagyongazdálkodással kapcsolatos feladatokban a hangsúlyok eltolód</w:t>
      </w:r>
      <w:r>
        <w:rPr>
          <w:rFonts w:ascii="Tahoma" w:hAnsi="Tahoma" w:cs="Tahoma"/>
          <w:sz w:val="22"/>
          <w:szCs w:val="22"/>
        </w:rPr>
        <w:t>t</w:t>
      </w:r>
      <w:r w:rsidR="00E002F6" w:rsidRPr="005E23C0">
        <w:rPr>
          <w:rFonts w:ascii="Tahoma" w:hAnsi="Tahoma" w:cs="Tahoma"/>
          <w:sz w:val="22"/>
          <w:szCs w:val="22"/>
        </w:rPr>
        <w:t>ak a meglévő állomány gyarapítása helyett a vagyoni kör hatékony működtetése irányába, és a gazdaságos üzemeltetés lesz a fókuszban.</w:t>
      </w:r>
    </w:p>
    <w:p w14:paraId="78D4B3C8" w14:textId="77777777" w:rsidR="00E002F6" w:rsidRPr="005E23C0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bCs/>
          <w:sz w:val="22"/>
          <w:szCs w:val="22"/>
        </w:rPr>
      </w:pPr>
    </w:p>
    <w:p w14:paraId="1301F453" w14:textId="77777777" w:rsidR="00E002F6" w:rsidRPr="005E23C0" w:rsidRDefault="00E002F6" w:rsidP="00E002F6">
      <w:pPr>
        <w:jc w:val="both"/>
        <w:rPr>
          <w:rFonts w:ascii="Tahoma" w:eastAsia="Calibri" w:hAnsi="Tahoma" w:cs="Tahoma"/>
          <w:sz w:val="22"/>
          <w:szCs w:val="22"/>
          <w:lang w:eastAsia="en-US"/>
        </w:rPr>
      </w:pPr>
      <w:r w:rsidRPr="005E23C0">
        <w:rPr>
          <w:rFonts w:ascii="Tahoma" w:eastAsia="Calibri" w:hAnsi="Tahoma" w:cs="Tahoma"/>
          <w:sz w:val="22"/>
          <w:szCs w:val="22"/>
          <w:lang w:eastAsia="en-US"/>
        </w:rPr>
        <w:t xml:space="preserve">A hatályos szerződések alapján az alábbi jelentősebb hasznosítási eljárásokra került sor: </w:t>
      </w:r>
    </w:p>
    <w:p w14:paraId="4D06C096" w14:textId="77777777" w:rsidR="00E002F6" w:rsidRPr="005E23C0" w:rsidRDefault="00E002F6" w:rsidP="00E002F6">
      <w:pPr>
        <w:jc w:val="both"/>
        <w:rPr>
          <w:rFonts w:ascii="Tahoma" w:eastAsia="Calibri" w:hAnsi="Tahoma" w:cs="Tahoma"/>
          <w:sz w:val="22"/>
          <w:szCs w:val="22"/>
          <w:lang w:eastAsia="en-US"/>
        </w:rPr>
      </w:pPr>
    </w:p>
    <w:p w14:paraId="16CFC403" w14:textId="3A9F23EF" w:rsidR="00615393" w:rsidRPr="00B05B03" w:rsidRDefault="00615393" w:rsidP="00615393">
      <w:pPr>
        <w:numPr>
          <w:ilvl w:val="0"/>
          <w:numId w:val="32"/>
        </w:numPr>
        <w:jc w:val="both"/>
        <w:rPr>
          <w:rFonts w:ascii="Tahoma" w:eastAsia="Calibri" w:hAnsi="Tahoma" w:cs="Tahoma"/>
          <w:sz w:val="22"/>
          <w:szCs w:val="22"/>
          <w:lang w:eastAsia="en-US"/>
        </w:rPr>
      </w:pPr>
      <w:r w:rsidRPr="005E23C0">
        <w:rPr>
          <w:rFonts w:ascii="Tahoma" w:eastAsia="Calibri" w:hAnsi="Tahoma" w:cs="Tahoma"/>
          <w:sz w:val="22"/>
          <w:szCs w:val="22"/>
          <w:lang w:eastAsia="en-US"/>
        </w:rPr>
        <w:t>A Veszprém 131 helyrajzi számú – természetben a Veszprém, Dózsa György utca 2. szám alatti – önkormányzati tulajdonban lévő ingatlan bérbeadása tárgyában 2021. március 1-</w:t>
      </w:r>
      <w:r w:rsidRPr="005E23C0">
        <w:rPr>
          <w:rFonts w:ascii="Tahoma" w:eastAsia="Calibri" w:hAnsi="Tahoma" w:cs="Tahoma"/>
          <w:sz w:val="22"/>
          <w:szCs w:val="22"/>
          <w:lang w:eastAsia="en-US"/>
        </w:rPr>
        <w:lastRenderedPageBreak/>
        <w:t xml:space="preserve">től szerződés jött létre Veszprém Megyei Jogú Város Önkormányzata és a Veszprém-Balaton 2023 </w:t>
      </w:r>
      <w:r w:rsidRPr="00B05B03">
        <w:rPr>
          <w:rFonts w:ascii="Tahoma" w:eastAsia="Calibri" w:hAnsi="Tahoma" w:cs="Tahoma"/>
          <w:sz w:val="22"/>
          <w:szCs w:val="22"/>
          <w:lang w:eastAsia="en-US"/>
        </w:rPr>
        <w:t xml:space="preserve">Zártkörűen Működő Részvénytársaság között. A bérleti szerződés célja a Dózsa György utca 2. szám alatti egykori művelődési központnak az Európa Kulturális Fővárosa 2023 cím viselésével kapcsolatos programokba történő bevonása volt. Az épület a Digitális Élményközpontnak (CODE) és </w:t>
      </w:r>
      <w:proofErr w:type="spellStart"/>
      <w:r w:rsidRPr="00B05B03">
        <w:rPr>
          <w:rFonts w:ascii="Tahoma" w:eastAsia="Calibri" w:hAnsi="Tahoma" w:cs="Tahoma"/>
          <w:sz w:val="22"/>
          <w:szCs w:val="22"/>
          <w:lang w:eastAsia="en-US"/>
        </w:rPr>
        <w:t>immerzív</w:t>
      </w:r>
      <w:proofErr w:type="spellEnd"/>
      <w:r w:rsidRPr="00B05B03">
        <w:rPr>
          <w:rFonts w:ascii="Tahoma" w:eastAsia="Calibri" w:hAnsi="Tahoma" w:cs="Tahoma"/>
          <w:sz w:val="22"/>
          <w:szCs w:val="22"/>
          <w:lang w:eastAsia="en-US"/>
        </w:rPr>
        <w:t xml:space="preserve"> kiállításnak ad otthont. A befejezett beruházás nem csak térségi, hanem országos, sőt európai viszonylatban is egy kiemelt fejlesztésnek minősül, hiszen hasonló funkcióval bíró létesítmény Veszprémhez legközelebb Linzben</w:t>
      </w:r>
      <w:r w:rsidR="00887A51">
        <w:rPr>
          <w:rFonts w:ascii="Tahoma" w:eastAsia="Calibri" w:hAnsi="Tahoma" w:cs="Tahoma"/>
          <w:sz w:val="22"/>
          <w:szCs w:val="22"/>
          <w:lang w:eastAsia="en-US"/>
        </w:rPr>
        <w:t>,</w:t>
      </w:r>
      <w:r w:rsidRPr="00B05B03">
        <w:rPr>
          <w:rFonts w:ascii="Tahoma" w:eastAsia="Calibri" w:hAnsi="Tahoma" w:cs="Tahoma"/>
          <w:sz w:val="22"/>
          <w:szCs w:val="22"/>
          <w:lang w:eastAsia="en-US"/>
        </w:rPr>
        <w:t xml:space="preserve"> illetve Párizsban található, melyek rendkívül magas kapacitáskihasználtság mellett nagy sikerrel működnek.</w:t>
      </w:r>
    </w:p>
    <w:p w14:paraId="3B9F5AF1" w14:textId="77777777" w:rsidR="00615393" w:rsidRPr="00B05B03" w:rsidRDefault="00615393" w:rsidP="00615393">
      <w:pPr>
        <w:numPr>
          <w:ilvl w:val="0"/>
          <w:numId w:val="32"/>
        </w:numPr>
        <w:jc w:val="both"/>
        <w:rPr>
          <w:rFonts w:ascii="Tahoma" w:eastAsia="Calibri" w:hAnsi="Tahoma" w:cs="Tahoma"/>
          <w:sz w:val="22"/>
          <w:szCs w:val="22"/>
          <w:lang w:eastAsia="en-US"/>
        </w:rPr>
      </w:pPr>
      <w:r w:rsidRPr="00B05B03">
        <w:rPr>
          <w:rFonts w:ascii="Tahoma" w:eastAsia="Calibri" w:hAnsi="Tahoma" w:cs="Tahoma"/>
          <w:sz w:val="22"/>
          <w:szCs w:val="22"/>
          <w:lang w:eastAsia="en-US"/>
        </w:rPr>
        <w:t xml:space="preserve">Az egykori bútorgyári területnek a Veszprém 4061/A hrsz.-ú irodaházi része vagyonkezelés útján került hasznosításra (26/2022. (II. 24.) közgyűlési határozat) a „VKSZ” Zrt.-vel 2022.03.01-én 10 éves időtartamra megkötött szerződéssel. </w:t>
      </w:r>
    </w:p>
    <w:p w14:paraId="6B709DB3" w14:textId="6BC37E58" w:rsidR="00615393" w:rsidRPr="00B05B03" w:rsidRDefault="00615393" w:rsidP="00615393">
      <w:pPr>
        <w:numPr>
          <w:ilvl w:val="0"/>
          <w:numId w:val="32"/>
        </w:numPr>
        <w:jc w:val="both"/>
        <w:rPr>
          <w:rFonts w:ascii="Tahoma" w:eastAsia="Calibri" w:hAnsi="Tahoma" w:cs="Tahoma"/>
          <w:sz w:val="22"/>
          <w:szCs w:val="22"/>
          <w:lang w:eastAsia="en-US"/>
        </w:rPr>
      </w:pPr>
      <w:r w:rsidRPr="00B05B03">
        <w:rPr>
          <w:rFonts w:ascii="Tahoma" w:eastAsia="Calibri" w:hAnsi="Tahoma" w:cs="Tahoma"/>
          <w:sz w:val="22"/>
          <w:szCs w:val="22"/>
          <w:lang w:eastAsia="en-US"/>
        </w:rPr>
        <w:t xml:space="preserve">A volt bútorgyári terület fennmaradó része – Veszprém 4061, 4038/1 és 4037 hrsz. – szintén vagyonkezelésbe került, a Közgyűlés 146/2022. (V. 26.) határozata alapján a Veszprém 2030 Kft. </w:t>
      </w:r>
      <w:r w:rsidR="00B05B03" w:rsidRPr="00B05B03">
        <w:rPr>
          <w:rFonts w:ascii="Tahoma" w:eastAsia="Calibri" w:hAnsi="Tahoma" w:cs="Tahoma"/>
          <w:sz w:val="22"/>
          <w:szCs w:val="22"/>
          <w:lang w:eastAsia="en-US"/>
        </w:rPr>
        <w:t>(jogutódja a Veszprémi Városfejlesztési és Innovációs K</w:t>
      </w:r>
      <w:r w:rsidR="00887A51">
        <w:rPr>
          <w:rFonts w:ascii="Tahoma" w:eastAsia="Calibri" w:hAnsi="Tahoma" w:cs="Tahoma"/>
          <w:sz w:val="22"/>
          <w:szCs w:val="22"/>
          <w:lang w:eastAsia="en-US"/>
        </w:rPr>
        <w:t>orlátolt Felelősségű Társaság</w:t>
      </w:r>
      <w:r w:rsidR="00B05B03" w:rsidRPr="00B05B03">
        <w:rPr>
          <w:rFonts w:ascii="Tahoma" w:eastAsia="Calibri" w:hAnsi="Tahoma" w:cs="Tahoma"/>
          <w:sz w:val="22"/>
          <w:szCs w:val="22"/>
          <w:lang w:eastAsia="en-US"/>
        </w:rPr>
        <w:t xml:space="preserve">.) </w:t>
      </w:r>
      <w:r w:rsidRPr="00B05B03">
        <w:rPr>
          <w:rFonts w:ascii="Tahoma" w:eastAsia="Calibri" w:hAnsi="Tahoma" w:cs="Tahoma"/>
          <w:sz w:val="22"/>
          <w:szCs w:val="22"/>
          <w:lang w:eastAsia="en-US"/>
        </w:rPr>
        <w:t xml:space="preserve">2022.06.01-től 15 éves időtartamra kapta meg a területeket, ahol a hasznosítás a 2023-as EKF évben ideiglenes attrakciók kialakítása mellett (Gyárkert </w:t>
      </w:r>
      <w:proofErr w:type="spellStart"/>
      <w:r w:rsidRPr="00B05B03">
        <w:rPr>
          <w:rFonts w:ascii="Tahoma" w:eastAsia="Calibri" w:hAnsi="Tahoma" w:cs="Tahoma"/>
          <w:sz w:val="22"/>
          <w:szCs w:val="22"/>
          <w:lang w:eastAsia="en-US"/>
        </w:rPr>
        <w:t>KultúrPark</w:t>
      </w:r>
      <w:proofErr w:type="spellEnd"/>
      <w:r w:rsidRPr="00B05B03">
        <w:rPr>
          <w:rFonts w:ascii="Tahoma" w:eastAsia="Calibri" w:hAnsi="Tahoma" w:cs="Tahoma"/>
          <w:sz w:val="22"/>
          <w:szCs w:val="22"/>
          <w:lang w:eastAsia="en-US"/>
        </w:rPr>
        <w:t xml:space="preserve"> koncerthelyszín) valósult meg, amely az elmúlt évek nyári hónapjain keresztül több külföldi és magyar előadó koncertjének, zenei programjának ad</w:t>
      </w:r>
      <w:r w:rsidR="00B05B03" w:rsidRPr="00B05B03">
        <w:rPr>
          <w:rFonts w:ascii="Tahoma" w:eastAsia="Calibri" w:hAnsi="Tahoma" w:cs="Tahoma"/>
          <w:sz w:val="22"/>
          <w:szCs w:val="22"/>
          <w:lang w:eastAsia="en-US"/>
        </w:rPr>
        <w:t>hat</w:t>
      </w:r>
      <w:r w:rsidRPr="00B05B03">
        <w:rPr>
          <w:rFonts w:ascii="Tahoma" w:eastAsia="Calibri" w:hAnsi="Tahoma" w:cs="Tahoma"/>
          <w:sz w:val="22"/>
          <w:szCs w:val="22"/>
          <w:lang w:eastAsia="en-US"/>
        </w:rPr>
        <w:t>ott otthont.</w:t>
      </w:r>
    </w:p>
    <w:p w14:paraId="5A5EC72C" w14:textId="3AB678A6" w:rsidR="00615393" w:rsidRPr="00B05B03" w:rsidRDefault="00615393" w:rsidP="00615393">
      <w:pPr>
        <w:numPr>
          <w:ilvl w:val="0"/>
          <w:numId w:val="32"/>
        </w:numPr>
        <w:jc w:val="both"/>
        <w:rPr>
          <w:rFonts w:ascii="Tahoma" w:eastAsia="Calibri" w:hAnsi="Tahoma" w:cs="Tahoma"/>
          <w:sz w:val="22"/>
          <w:szCs w:val="22"/>
          <w:lang w:eastAsia="en-US"/>
        </w:rPr>
      </w:pPr>
      <w:r w:rsidRPr="00B05B03">
        <w:rPr>
          <w:rFonts w:ascii="Tahoma" w:eastAsia="Calibri" w:hAnsi="Tahoma" w:cs="Tahoma"/>
          <w:sz w:val="22"/>
          <w:szCs w:val="22"/>
          <w:lang w:eastAsia="en-US"/>
        </w:rPr>
        <w:t>Az EKF fejlesztéssel, illetve gyárkerti programokkal nem érintett volt bútorgyári ingatlanrész, illetve az SZMT irodaház vagyonkezelésbe adás</w:t>
      </w:r>
      <w:r w:rsidR="00887A51">
        <w:rPr>
          <w:rFonts w:ascii="Tahoma" w:eastAsia="Calibri" w:hAnsi="Tahoma" w:cs="Tahoma"/>
          <w:sz w:val="22"/>
          <w:szCs w:val="22"/>
          <w:lang w:eastAsia="en-US"/>
        </w:rPr>
        <w:t>á</w:t>
      </w:r>
      <w:r w:rsidRPr="00B05B03">
        <w:rPr>
          <w:rFonts w:ascii="Tahoma" w:eastAsia="Calibri" w:hAnsi="Tahoma" w:cs="Tahoma"/>
          <w:sz w:val="22"/>
          <w:szCs w:val="22"/>
          <w:lang w:eastAsia="en-US"/>
        </w:rPr>
        <w:t>hoz folyamatban van a Közigazgatási és Területfejlesztési Minisztérium előzetes hozzájárulásának megkérése</w:t>
      </w:r>
      <w:r w:rsidR="00B05B03" w:rsidRPr="00B05B03">
        <w:rPr>
          <w:rFonts w:ascii="Tahoma" w:eastAsia="Calibri" w:hAnsi="Tahoma" w:cs="Tahoma"/>
          <w:sz w:val="22"/>
          <w:szCs w:val="22"/>
          <w:lang w:eastAsia="en-US"/>
        </w:rPr>
        <w:t>.</w:t>
      </w:r>
    </w:p>
    <w:p w14:paraId="010BD99A" w14:textId="19CB7F5A" w:rsidR="00615393" w:rsidRPr="005E23C0" w:rsidRDefault="00615393" w:rsidP="00615393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ahoma" w:eastAsia="Calibri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t xml:space="preserve">A Modern Városok Program keretén belül </w:t>
      </w:r>
      <w:r w:rsidRPr="005E23C0">
        <w:rPr>
          <w:rFonts w:ascii="Tahoma" w:eastAsia="Calibri" w:hAnsi="Tahoma" w:cs="Tahoma"/>
          <w:sz w:val="22"/>
          <w:szCs w:val="22"/>
        </w:rPr>
        <w:t>az "Iparos Park" kialakítására vonatkozó – a helyi gazdasági szereplők bevonására alkalmas, képzőközpontot is magában foglaló – projekt 2022-ben megvalósult, ennek kapcsán a Közgyűlés a 120/2022. (IV. 28.) határozatával a Veszprém 1965/11 hrsz.-ú ingatlanon található „K” jelű épület, valamint a Veszprém 1965/11/B hrsz.-ú ingatlan „C” jelű épületének, továbbá az épületekben elhelyezett termelő berendezések és eszközök bérleti úton történő hasznosításáról döntött. A bérleti szerződés a Szakipark Oktató és Gyártó Nonprofit Kft. (bérlő) részére 2023.06.01-től határozatlan időre biztosítja a bérleti jogot évente nettó 12 millió Ft bevételt generálva a költségvetésnek. A 2022.07.01. napján kelt bérleti szerződés közös megegyezéssel történő megszüntetésének következtében létrejött megállapodásban a Veszprémi Szakipark Oktató és Gyártó Nonprofit Kft. mint bérlő kötelezettséget vállalt a szerződés szerinti 112.559.893 Ft tartozás 10 éves időtartamú (évenként 10.232.717 Ft) törlesztésére.</w:t>
      </w:r>
    </w:p>
    <w:p w14:paraId="3EA78AAA" w14:textId="77777777" w:rsidR="00615393" w:rsidRPr="005E23C0" w:rsidRDefault="00615393" w:rsidP="00615393">
      <w:pPr>
        <w:numPr>
          <w:ilvl w:val="0"/>
          <w:numId w:val="32"/>
        </w:numPr>
        <w:spacing w:after="200"/>
        <w:contextualSpacing/>
        <w:jc w:val="both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t>A Közgyűlés a 11/2022. (I. 27.) határozatával az EKF 2023 programban támogatási szerződéssel rendelkező szakmai feladatok közül a Veszprém, Hóvirág u. 1. szám alatti 5045 hrsz.-ú beruházás eredményeként kialakuló ingatlan (</w:t>
      </w:r>
      <w:proofErr w:type="spellStart"/>
      <w:r w:rsidRPr="005E23C0">
        <w:rPr>
          <w:rFonts w:ascii="Tahoma" w:hAnsi="Tahoma" w:cs="Tahoma"/>
          <w:sz w:val="22"/>
          <w:szCs w:val="22"/>
        </w:rPr>
        <w:t>Acticity</w:t>
      </w:r>
      <w:proofErr w:type="spellEnd"/>
      <w:r w:rsidRPr="005E23C0">
        <w:rPr>
          <w:rFonts w:ascii="Tahoma" w:hAnsi="Tahoma" w:cs="Tahoma"/>
          <w:sz w:val="22"/>
          <w:szCs w:val="22"/>
        </w:rPr>
        <w:t xml:space="preserve">) bérlet jogcímén történő hasznosításáról döntött. A 2023.05.11-én a </w:t>
      </w:r>
      <w:proofErr w:type="spellStart"/>
      <w:r w:rsidRPr="005E23C0">
        <w:rPr>
          <w:rFonts w:ascii="Tahoma" w:hAnsi="Tahoma" w:cs="Tahoma"/>
          <w:sz w:val="22"/>
          <w:szCs w:val="22"/>
        </w:rPr>
        <w:t>Swing-Swing</w:t>
      </w:r>
      <w:proofErr w:type="spellEnd"/>
      <w:r w:rsidRPr="005E23C0">
        <w:rPr>
          <w:rFonts w:ascii="Tahoma" w:hAnsi="Tahoma" w:cs="Tahoma"/>
          <w:sz w:val="22"/>
          <w:szCs w:val="22"/>
        </w:rPr>
        <w:t xml:space="preserve"> Kft. (bérlő) által birtokba vett épület különböző, mozgáskultúrához kapcsolódó csoportos tevékenységeknek ad otthont. Modern, speciálisan tánc- és sportedzések befogadására kialakított, öltözőhelyiségekkel rendelkező, klimatizált, fixen és időszakosan is bérelhető termek kerültek kialakításra az ingatlanon belül, valamint helyet kapott egy bisztró jellegű étterem és egy 200 négyzetméternyi </w:t>
      </w:r>
      <w:proofErr w:type="spellStart"/>
      <w:r w:rsidRPr="005E23C0">
        <w:rPr>
          <w:rFonts w:ascii="Tahoma" w:hAnsi="Tahoma" w:cs="Tahoma"/>
          <w:sz w:val="22"/>
          <w:szCs w:val="22"/>
        </w:rPr>
        <w:t>mászófelülettel</w:t>
      </w:r>
      <w:proofErr w:type="spellEnd"/>
      <w:r w:rsidRPr="005E23C0">
        <w:rPr>
          <w:rFonts w:ascii="Tahoma" w:hAnsi="Tahoma" w:cs="Tahoma"/>
          <w:sz w:val="22"/>
          <w:szCs w:val="22"/>
        </w:rPr>
        <w:t xml:space="preserve"> rendelkező </w:t>
      </w:r>
      <w:proofErr w:type="spellStart"/>
      <w:r w:rsidRPr="005E23C0">
        <w:rPr>
          <w:rFonts w:ascii="Tahoma" w:hAnsi="Tahoma" w:cs="Tahoma"/>
          <w:sz w:val="22"/>
          <w:szCs w:val="22"/>
        </w:rPr>
        <w:t>boulderterem</w:t>
      </w:r>
      <w:proofErr w:type="spellEnd"/>
      <w:r w:rsidRPr="005E23C0">
        <w:rPr>
          <w:rFonts w:ascii="Tahoma" w:hAnsi="Tahoma" w:cs="Tahoma"/>
          <w:sz w:val="22"/>
          <w:szCs w:val="22"/>
        </w:rPr>
        <w:t xml:space="preserve"> is.</w:t>
      </w:r>
    </w:p>
    <w:p w14:paraId="3C7F6B8F" w14:textId="77777777" w:rsidR="00615393" w:rsidRPr="005E23C0" w:rsidRDefault="00615393" w:rsidP="00615393">
      <w:pPr>
        <w:numPr>
          <w:ilvl w:val="0"/>
          <w:numId w:val="32"/>
        </w:numPr>
        <w:spacing w:after="200"/>
        <w:contextualSpacing/>
        <w:jc w:val="both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t xml:space="preserve">Szintén bérlet jogcímén történő hasznosításról döntött a Közgyűlés a 12/2022. (I. 27.) határozatával a Veszprém, Jókai Mór u. 8. szám alatti 199 hrsz.-ú ingatlan eredményeként kialakuló ingatlanon megvalósuló, látogatócsoportok fogadására alkalmas, 35 fő elhelyezését biztosító, </w:t>
      </w:r>
      <w:proofErr w:type="spellStart"/>
      <w:r w:rsidRPr="005E23C0">
        <w:rPr>
          <w:rFonts w:ascii="Tahoma" w:hAnsi="Tahoma" w:cs="Tahoma"/>
          <w:sz w:val="22"/>
          <w:szCs w:val="22"/>
        </w:rPr>
        <w:t>Hostel</w:t>
      </w:r>
      <w:proofErr w:type="spellEnd"/>
      <w:r w:rsidRPr="005E23C0">
        <w:rPr>
          <w:rFonts w:ascii="Tahoma" w:hAnsi="Tahoma" w:cs="Tahoma"/>
          <w:sz w:val="22"/>
          <w:szCs w:val="22"/>
        </w:rPr>
        <w:t xml:space="preserve"> típusú szálláshely kapcsán. A szálláshelyen egy fogadótér jegyértékesítő blokkal és egy kávézó-étkező blokk is kialakításra került, ahol a Várbörtön látogatók fogadása is történik. Az épületet az Önkormányzat 2023.04.12-én a Patent </w:t>
      </w:r>
      <w:proofErr w:type="spellStart"/>
      <w:r w:rsidRPr="005E23C0">
        <w:rPr>
          <w:rFonts w:ascii="Tahoma" w:hAnsi="Tahoma" w:cs="Tahoma"/>
          <w:sz w:val="22"/>
          <w:szCs w:val="22"/>
        </w:rPr>
        <w:t>Hostel</w:t>
      </w:r>
      <w:proofErr w:type="spellEnd"/>
      <w:r w:rsidRPr="005E23C0">
        <w:rPr>
          <w:rFonts w:ascii="Tahoma" w:hAnsi="Tahoma" w:cs="Tahoma"/>
          <w:sz w:val="22"/>
          <w:szCs w:val="22"/>
        </w:rPr>
        <w:t xml:space="preserve"> Kft. (bérlő) részére birtokba adta.</w:t>
      </w:r>
    </w:p>
    <w:p w14:paraId="7F4E1D0B" w14:textId="77777777" w:rsidR="00615393" w:rsidRPr="005E23C0" w:rsidRDefault="00615393" w:rsidP="00615393">
      <w:pPr>
        <w:numPr>
          <w:ilvl w:val="0"/>
          <w:numId w:val="32"/>
        </w:numPr>
        <w:spacing w:after="200"/>
        <w:contextualSpacing/>
        <w:jc w:val="both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lastRenderedPageBreak/>
        <w:t xml:space="preserve">A Közgyűlés a 261/2022. (IX. 29.) határozatával döntött az Európa Kulturális Fővárosa 2023 támogatásból megújításra kerülő Veszprém 236 hrsz.-ú – természetben a Veszprém, Vár utca 17. szám alatt található – ingatlanban kialakuló közösségi terek és művészeti központ (FOTON) (egykori </w:t>
      </w:r>
      <w:proofErr w:type="spellStart"/>
      <w:r w:rsidRPr="005E23C0">
        <w:rPr>
          <w:rFonts w:ascii="Tahoma" w:hAnsi="Tahoma" w:cs="Tahoma"/>
          <w:sz w:val="22"/>
          <w:szCs w:val="22"/>
        </w:rPr>
        <w:t>Simoga</w:t>
      </w:r>
      <w:proofErr w:type="spellEnd"/>
      <w:r w:rsidRPr="005E23C0">
        <w:rPr>
          <w:rFonts w:ascii="Tahoma" w:hAnsi="Tahoma" w:cs="Tahoma"/>
          <w:sz w:val="22"/>
          <w:szCs w:val="22"/>
        </w:rPr>
        <w:t xml:space="preserve"> ház istálló-épületének és udvarának, valamint a Tűztorony udvarának felújítása) bérleti szerződésének a megkötéséről is. A művészeti központ 2023.06.02-án a Várkultúra Plusz Kft. (bérlő) részére birtokbaadásra került. A központban kialakításra kerültek többfunkciós előadótermek, rendezvény és kiállítótermek, illetve a pincében két projektterem. Az épületben helyet kapott egy kávézó, valamint megújult a várfal alatti függőkert is. </w:t>
      </w:r>
    </w:p>
    <w:p w14:paraId="72BD35DD" w14:textId="27A98D12" w:rsidR="00615393" w:rsidRPr="00AB7469" w:rsidRDefault="00615393" w:rsidP="00615393">
      <w:pPr>
        <w:numPr>
          <w:ilvl w:val="0"/>
          <w:numId w:val="32"/>
        </w:numPr>
        <w:spacing w:after="200"/>
        <w:contextualSpacing/>
        <w:jc w:val="both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t xml:space="preserve">Döntés született továbbá a Veszprém 304/2 hrsz.-ú – természetben a Veszprém, Deák Ferenc utca 13. szám alatti – a GINOP-7.1.9-17-2018-00023 azonosító jelű és a „Veszprém kulturális turisztikai kínálatának fejlesztése” című önkormányzati beruházás eredményeképpen kialakuló ingatlan bérleti szerződésének jóváhagyásáról is, amelyet a Veszprém 2030 Kft. 2023.08.31. napjától vett birtokba. A használaton kívüli tornateremben a </w:t>
      </w:r>
      <w:r w:rsidR="00B05B03">
        <w:rPr>
          <w:rFonts w:ascii="Tahoma" w:hAnsi="Tahoma" w:cs="Tahoma"/>
          <w:sz w:val="22"/>
          <w:szCs w:val="22"/>
        </w:rPr>
        <w:t xml:space="preserve">Kabóca Bábszínház </w:t>
      </w:r>
      <w:r w:rsidRPr="005E23C0">
        <w:rPr>
          <w:rFonts w:ascii="Tahoma" w:hAnsi="Tahoma" w:cs="Tahoma"/>
          <w:bCs/>
          <w:sz w:val="22"/>
          <w:szCs w:val="22"/>
        </w:rPr>
        <w:t>bábszínházi előadásoknak is helyet biztosító</w:t>
      </w:r>
      <w:r w:rsidRPr="005E23C0">
        <w:rPr>
          <w:rFonts w:ascii="Tahoma" w:hAnsi="Tahoma" w:cs="Tahoma"/>
          <w:sz w:val="22"/>
          <w:szCs w:val="22"/>
        </w:rPr>
        <w:t xml:space="preserve"> foglalkoztató és művészeti fejlesztő központ jött létre. Mellette egy új</w:t>
      </w:r>
      <w:r w:rsidR="00AB7469">
        <w:rPr>
          <w:rFonts w:ascii="Tahoma" w:hAnsi="Tahoma" w:cs="Tahoma"/>
          <w:sz w:val="22"/>
          <w:szCs w:val="22"/>
        </w:rPr>
        <w:t xml:space="preserve"> </w:t>
      </w:r>
      <w:r w:rsidRPr="005E23C0">
        <w:rPr>
          <w:rFonts w:ascii="Tahoma" w:hAnsi="Tahoma" w:cs="Tahoma"/>
          <w:sz w:val="22"/>
          <w:szCs w:val="22"/>
        </w:rPr>
        <w:t>fogadóépület</w:t>
      </w:r>
      <w:r w:rsidR="00AB7469">
        <w:rPr>
          <w:rFonts w:ascii="Tahoma" w:hAnsi="Tahoma" w:cs="Tahoma"/>
          <w:sz w:val="22"/>
          <w:szCs w:val="22"/>
        </w:rPr>
        <w:t xml:space="preserve"> </w:t>
      </w:r>
      <w:r w:rsidRPr="005E23C0">
        <w:rPr>
          <w:rFonts w:ascii="Tahoma" w:hAnsi="Tahoma" w:cs="Tahoma"/>
          <w:sz w:val="22"/>
          <w:szCs w:val="22"/>
        </w:rPr>
        <w:t xml:space="preserve">is épült, amelyben ajándékbolt, próbaterem, kiállítótér, kávézó, raktárak és öltözők is megtalálhatóak az épületben. </w:t>
      </w:r>
      <w:r w:rsidR="00B05B03">
        <w:rPr>
          <w:rFonts w:ascii="Tahoma" w:hAnsi="Tahoma" w:cs="Tahoma"/>
          <w:sz w:val="22"/>
          <w:szCs w:val="22"/>
        </w:rPr>
        <w:t xml:space="preserve">Az ingatlanegyüttest </w:t>
      </w:r>
      <w:r w:rsidR="00AB7469">
        <w:rPr>
          <w:rFonts w:ascii="Tahoma" w:hAnsi="Tahoma" w:cs="Tahoma"/>
          <w:sz w:val="22"/>
          <w:szCs w:val="22"/>
        </w:rPr>
        <w:t xml:space="preserve">jelenleg </w:t>
      </w:r>
      <w:r w:rsidR="00B05B03">
        <w:rPr>
          <w:rFonts w:ascii="Tahoma" w:hAnsi="Tahoma" w:cs="Tahoma"/>
          <w:sz w:val="22"/>
          <w:szCs w:val="22"/>
        </w:rPr>
        <w:t>a VVI Kft</w:t>
      </w:r>
      <w:r w:rsidR="00887A51">
        <w:rPr>
          <w:rFonts w:ascii="Tahoma" w:hAnsi="Tahoma" w:cs="Tahoma"/>
          <w:sz w:val="22"/>
          <w:szCs w:val="22"/>
        </w:rPr>
        <w:t>.</w:t>
      </w:r>
      <w:r w:rsidR="00B05B03">
        <w:rPr>
          <w:rFonts w:ascii="Tahoma" w:hAnsi="Tahoma" w:cs="Tahoma"/>
          <w:sz w:val="22"/>
          <w:szCs w:val="22"/>
        </w:rPr>
        <w:t xml:space="preserve"> bérleti </w:t>
      </w:r>
      <w:proofErr w:type="gramStart"/>
      <w:r w:rsidR="00B05B03">
        <w:rPr>
          <w:rFonts w:ascii="Tahoma" w:hAnsi="Tahoma" w:cs="Tahoma"/>
          <w:sz w:val="22"/>
          <w:szCs w:val="22"/>
        </w:rPr>
        <w:t>jogviszonyban</w:t>
      </w:r>
      <w:proofErr w:type="gramEnd"/>
      <w:r w:rsidR="00B05B03">
        <w:rPr>
          <w:rFonts w:ascii="Tahoma" w:hAnsi="Tahoma" w:cs="Tahoma"/>
          <w:sz w:val="22"/>
          <w:szCs w:val="22"/>
        </w:rPr>
        <w:t xml:space="preserve"> mint a Veszprém </w:t>
      </w:r>
      <w:r w:rsidR="00B05B03" w:rsidRPr="00AB7469">
        <w:rPr>
          <w:rFonts w:ascii="Tahoma" w:hAnsi="Tahoma" w:cs="Tahoma"/>
          <w:sz w:val="22"/>
          <w:szCs w:val="22"/>
        </w:rPr>
        <w:t>2030 Kft</w:t>
      </w:r>
      <w:r w:rsidR="00887A51">
        <w:rPr>
          <w:rFonts w:ascii="Tahoma" w:hAnsi="Tahoma" w:cs="Tahoma"/>
          <w:sz w:val="22"/>
          <w:szCs w:val="22"/>
        </w:rPr>
        <w:t>.</w:t>
      </w:r>
      <w:r w:rsidR="00B05B03" w:rsidRPr="00AB7469">
        <w:rPr>
          <w:rFonts w:ascii="Tahoma" w:hAnsi="Tahoma" w:cs="Tahoma"/>
          <w:sz w:val="22"/>
          <w:szCs w:val="22"/>
        </w:rPr>
        <w:t xml:space="preserve"> jogutódja használja és hasznosítja.</w:t>
      </w:r>
    </w:p>
    <w:p w14:paraId="5FC85DB0" w14:textId="77777777" w:rsidR="00615393" w:rsidRPr="00AB7469" w:rsidRDefault="00615393" w:rsidP="00615393">
      <w:pPr>
        <w:numPr>
          <w:ilvl w:val="0"/>
          <w:numId w:val="32"/>
        </w:numPr>
        <w:spacing w:after="200"/>
        <w:contextualSpacing/>
        <w:jc w:val="both"/>
        <w:rPr>
          <w:rFonts w:ascii="Tahoma" w:hAnsi="Tahoma" w:cs="Tahoma"/>
          <w:sz w:val="22"/>
          <w:szCs w:val="22"/>
        </w:rPr>
      </w:pPr>
      <w:r w:rsidRPr="00AB7469">
        <w:rPr>
          <w:rFonts w:ascii="Tahoma" w:hAnsi="Tahoma" w:cs="Tahoma"/>
          <w:sz w:val="22"/>
          <w:szCs w:val="22"/>
        </w:rPr>
        <w:t xml:space="preserve">Az Úrkút utca 5. szám alatti (Veszprém 304/1 hrsz.-ú) sportpálya megnevezésű 1979 m²-es nagyságú területét a </w:t>
      </w:r>
      <w:proofErr w:type="spellStart"/>
      <w:r w:rsidRPr="00AB7469">
        <w:rPr>
          <w:rFonts w:ascii="Tahoma" w:hAnsi="Tahoma" w:cs="Tahoma"/>
          <w:sz w:val="22"/>
          <w:szCs w:val="22"/>
        </w:rPr>
        <w:t>Vemév-Szer</w:t>
      </w:r>
      <w:proofErr w:type="spellEnd"/>
      <w:r w:rsidRPr="00AB7469">
        <w:rPr>
          <w:rFonts w:ascii="Tahoma" w:hAnsi="Tahoma" w:cs="Tahoma"/>
          <w:sz w:val="22"/>
          <w:szCs w:val="22"/>
        </w:rPr>
        <w:t xml:space="preserve"> Kft. vette bérbe a vár területén zajló egyházi beruházásban megvalósuló felújítások idejére. </w:t>
      </w:r>
    </w:p>
    <w:p w14:paraId="5152C183" w14:textId="77777777" w:rsidR="00615393" w:rsidRPr="00AB7469" w:rsidRDefault="00615393" w:rsidP="00615393">
      <w:pPr>
        <w:numPr>
          <w:ilvl w:val="0"/>
          <w:numId w:val="32"/>
        </w:numPr>
        <w:spacing w:after="200"/>
        <w:contextualSpacing/>
        <w:jc w:val="both"/>
        <w:rPr>
          <w:rFonts w:ascii="Tahoma" w:hAnsi="Tahoma" w:cs="Tahoma"/>
          <w:sz w:val="22"/>
          <w:szCs w:val="22"/>
        </w:rPr>
      </w:pPr>
      <w:r w:rsidRPr="00AB7469">
        <w:rPr>
          <w:rFonts w:ascii="Tahoma" w:hAnsi="Tahoma" w:cs="Tahoma"/>
          <w:sz w:val="22"/>
          <w:szCs w:val="22"/>
        </w:rPr>
        <w:t>A Veszprém 4273/126 hrsz.-ú, természetben a Cholnoky Jenő utca 21. szám alatt található, „kivett iskola” megnevezésű ingatlan 320 m</w:t>
      </w:r>
      <w:r w:rsidRPr="00AB7469">
        <w:rPr>
          <w:rFonts w:ascii="Tahoma" w:hAnsi="Tahoma" w:cs="Tahoma"/>
          <w:sz w:val="22"/>
          <w:szCs w:val="22"/>
          <w:vertAlign w:val="superscript"/>
        </w:rPr>
        <w:t>2</w:t>
      </w:r>
      <w:r w:rsidRPr="00AB7469">
        <w:rPr>
          <w:rFonts w:ascii="Tahoma" w:hAnsi="Tahoma" w:cs="Tahoma"/>
          <w:sz w:val="22"/>
          <w:szCs w:val="22"/>
        </w:rPr>
        <w:t xml:space="preserve"> alapterületű „</w:t>
      </w:r>
      <w:proofErr w:type="spellStart"/>
      <w:r w:rsidRPr="00AB7469">
        <w:rPr>
          <w:rFonts w:ascii="Tahoma" w:hAnsi="Tahoma" w:cs="Tahoma"/>
          <w:sz w:val="22"/>
          <w:szCs w:val="22"/>
        </w:rPr>
        <w:t>forfa</w:t>
      </w:r>
      <w:proofErr w:type="spellEnd"/>
      <w:r w:rsidRPr="00AB7469">
        <w:rPr>
          <w:rFonts w:ascii="Tahoma" w:hAnsi="Tahoma" w:cs="Tahoma"/>
          <w:sz w:val="22"/>
          <w:szCs w:val="22"/>
        </w:rPr>
        <w:t xml:space="preserve">” épülete kapcsán haszonkölcsön szerződés jött létre az Önkormányzat és a Katolikus Szeretetszolgálat mint haszonkölcsönbe vevő között. A Közgyűlés 257/2023 (VI. 29.) határozatában foglaltak alapján az Önkormányzat a Katolikus Szeretetszolgálat része 50 millió Ft támogatást nyújtott az ingatlanon 2023. év végén megvalósult </w:t>
      </w:r>
      <w:proofErr w:type="spellStart"/>
      <w:r w:rsidRPr="00AB7469">
        <w:rPr>
          <w:rFonts w:ascii="Tahoma" w:hAnsi="Tahoma" w:cs="Tahoma"/>
          <w:sz w:val="22"/>
          <w:szCs w:val="22"/>
        </w:rPr>
        <w:t>Börzsei</w:t>
      </w:r>
      <w:proofErr w:type="spellEnd"/>
      <w:r w:rsidRPr="00AB7469">
        <w:rPr>
          <w:rFonts w:ascii="Tahoma" w:hAnsi="Tahoma" w:cs="Tahoma"/>
          <w:sz w:val="22"/>
          <w:szCs w:val="22"/>
        </w:rPr>
        <w:t xml:space="preserve"> Barbara Korai Komplex Intervenciós és Gyermek Mozgásfejlesztő Központ megvalósítása érdekében.</w:t>
      </w:r>
    </w:p>
    <w:p w14:paraId="6ED6A610" w14:textId="11D6C3B2" w:rsidR="00615393" w:rsidRPr="00AB7469" w:rsidRDefault="00615393" w:rsidP="00615393">
      <w:pPr>
        <w:numPr>
          <w:ilvl w:val="0"/>
          <w:numId w:val="32"/>
        </w:numPr>
        <w:spacing w:after="200"/>
        <w:contextualSpacing/>
        <w:jc w:val="both"/>
        <w:rPr>
          <w:rFonts w:ascii="Tahoma" w:hAnsi="Tahoma" w:cs="Tahoma"/>
          <w:sz w:val="22"/>
          <w:szCs w:val="22"/>
        </w:rPr>
      </w:pPr>
      <w:r w:rsidRPr="00AB7469">
        <w:rPr>
          <w:rFonts w:ascii="Tahoma" w:hAnsi="Tahoma" w:cs="Tahoma"/>
          <w:sz w:val="22"/>
          <w:szCs w:val="22"/>
        </w:rPr>
        <w:t>Vagyonkezelési konstrukcióban került hasznosításra a Veszprém 2364/42 hrsz.-ú területen található Teniszcentrum (Jutasi városrészben, Barátság</w:t>
      </w:r>
      <w:r w:rsidR="00887A51">
        <w:rPr>
          <w:rFonts w:ascii="Tahoma" w:hAnsi="Tahoma" w:cs="Tahoma"/>
          <w:sz w:val="22"/>
          <w:szCs w:val="22"/>
        </w:rPr>
        <w:t xml:space="preserve"> </w:t>
      </w:r>
      <w:r w:rsidRPr="00AB7469">
        <w:rPr>
          <w:rFonts w:ascii="Tahoma" w:hAnsi="Tahoma" w:cs="Tahoma"/>
          <w:sz w:val="22"/>
          <w:szCs w:val="22"/>
        </w:rPr>
        <w:t>parkban található sporttelep) 1</w:t>
      </w:r>
      <w:r w:rsidR="00887A51">
        <w:rPr>
          <w:rFonts w:ascii="Tahoma" w:hAnsi="Tahoma" w:cs="Tahoma"/>
          <w:sz w:val="22"/>
          <w:szCs w:val="22"/>
        </w:rPr>
        <w:t xml:space="preserve"> </w:t>
      </w:r>
      <w:r w:rsidRPr="00AB7469">
        <w:rPr>
          <w:rFonts w:ascii="Tahoma" w:hAnsi="Tahoma" w:cs="Tahoma"/>
          <w:sz w:val="22"/>
          <w:szCs w:val="22"/>
        </w:rPr>
        <w:t>ha 9821 m² nagyságú „kivett sporttelep öltöző-vizesblokk” megnevezésű ingatlan, mellyel kapcsolatban a 2024.03.01-én megkötött vagyonkezelési szerződés ír elő kötelezettségeket és biztosít jogot 10 éves határozott időtartamra vagyonkezelő (Veszprém 2030 Kft.</w:t>
      </w:r>
      <w:r w:rsidR="00887A51">
        <w:rPr>
          <w:rFonts w:ascii="Tahoma" w:hAnsi="Tahoma" w:cs="Tahoma"/>
          <w:sz w:val="22"/>
          <w:szCs w:val="22"/>
        </w:rPr>
        <w:t>, jogutódja a VVI Kft.</w:t>
      </w:r>
      <w:r w:rsidRPr="00AB7469">
        <w:rPr>
          <w:rFonts w:ascii="Tahoma" w:hAnsi="Tahoma" w:cs="Tahoma"/>
          <w:sz w:val="22"/>
          <w:szCs w:val="22"/>
        </w:rPr>
        <w:t xml:space="preserve">) részére. </w:t>
      </w:r>
    </w:p>
    <w:p w14:paraId="3BADAE19" w14:textId="16B79DA8" w:rsidR="00615393" w:rsidRPr="00AB7469" w:rsidRDefault="00615393" w:rsidP="00615393">
      <w:pPr>
        <w:numPr>
          <w:ilvl w:val="0"/>
          <w:numId w:val="32"/>
        </w:numPr>
        <w:spacing w:after="200"/>
        <w:contextualSpacing/>
        <w:jc w:val="both"/>
        <w:rPr>
          <w:rFonts w:ascii="Tahoma" w:hAnsi="Tahoma" w:cs="Tahoma"/>
          <w:sz w:val="22"/>
          <w:szCs w:val="22"/>
        </w:rPr>
      </w:pPr>
      <w:r w:rsidRPr="00AB7469">
        <w:rPr>
          <w:rFonts w:ascii="Tahoma" w:hAnsi="Tahoma" w:cs="Tahoma"/>
          <w:sz w:val="22"/>
          <w:szCs w:val="22"/>
        </w:rPr>
        <w:t xml:space="preserve">A Veszprém 0270/3 hrsz.-ú „kivett csárda és lakóház, udvar, gazdasági épület” megnevezésű 390 m² területű és a Veszprém 0270/7 hrsz.-ú „kivett lakóház, udvar, gazdasági épület”, egykori </w:t>
      </w:r>
      <w:r w:rsidR="00887A51">
        <w:rPr>
          <w:rFonts w:ascii="Tahoma" w:hAnsi="Tahoma" w:cs="Tahoma"/>
          <w:sz w:val="22"/>
          <w:szCs w:val="22"/>
        </w:rPr>
        <w:t>K</w:t>
      </w:r>
      <w:r w:rsidRPr="00AB7469">
        <w:rPr>
          <w:rFonts w:ascii="Tahoma" w:hAnsi="Tahoma" w:cs="Tahoma"/>
          <w:sz w:val="22"/>
          <w:szCs w:val="22"/>
        </w:rPr>
        <w:t xml:space="preserve">iskuti csárdán az </w:t>
      </w:r>
      <w:r w:rsidR="00887A51">
        <w:rPr>
          <w:rFonts w:ascii="Tahoma" w:hAnsi="Tahoma" w:cs="Tahoma"/>
          <w:sz w:val="22"/>
          <w:szCs w:val="22"/>
        </w:rPr>
        <w:t>Ö</w:t>
      </w:r>
      <w:r w:rsidRPr="00AB7469">
        <w:rPr>
          <w:rFonts w:ascii="Tahoma" w:hAnsi="Tahoma" w:cs="Tahoma"/>
          <w:sz w:val="22"/>
          <w:szCs w:val="22"/>
        </w:rPr>
        <w:t>nkormányzat az ET-INF-2022/727455 projekt keretén belül felújítást célzó beruházást hajtott végre. 2024.04.-09. napján a pályáztatási eljárást követően bérleti szerződés került aláírásra 10 éves határozott időtartamra, melyben bérlő kötelezettséget vállal arra, hogy a bérleményt kulturális, művészeti tevékenység, kézműves foglalkozások és néphagyományok ápolására is hasznosítja. A kulturális, művészeti tevékenység, kézműves foglalkozások, néphagyományok ápolása a teljes használat 80</w:t>
      </w:r>
      <w:r w:rsidR="00887A51">
        <w:rPr>
          <w:rFonts w:ascii="Tahoma" w:hAnsi="Tahoma" w:cs="Tahoma"/>
          <w:sz w:val="22"/>
          <w:szCs w:val="22"/>
        </w:rPr>
        <w:t xml:space="preserve"> </w:t>
      </w:r>
      <w:r w:rsidRPr="00AB7469">
        <w:rPr>
          <w:rFonts w:ascii="Tahoma" w:hAnsi="Tahoma" w:cs="Tahoma"/>
          <w:sz w:val="22"/>
          <w:szCs w:val="22"/>
        </w:rPr>
        <w:t>%-át kell, hogy kitegye azzal, hogy e tevékenységbe a Veszprém 0274/3 helyrajzi számú ingatlant is be kell vonni.</w:t>
      </w:r>
    </w:p>
    <w:p w14:paraId="10FCB958" w14:textId="5F900C73" w:rsidR="00615393" w:rsidRDefault="00615393" w:rsidP="00615393">
      <w:pPr>
        <w:numPr>
          <w:ilvl w:val="0"/>
          <w:numId w:val="32"/>
        </w:numPr>
        <w:spacing w:after="200"/>
        <w:contextualSpacing/>
        <w:jc w:val="both"/>
        <w:rPr>
          <w:rFonts w:ascii="Tahoma" w:hAnsi="Tahoma" w:cs="Tahoma"/>
          <w:sz w:val="22"/>
          <w:szCs w:val="22"/>
        </w:rPr>
      </w:pPr>
      <w:r w:rsidRPr="00AB7469">
        <w:rPr>
          <w:rFonts w:ascii="Tahoma" w:hAnsi="Tahoma" w:cs="Tahoma"/>
          <w:sz w:val="22"/>
          <w:szCs w:val="22"/>
        </w:rPr>
        <w:t>Az ET-INF-2022/506668. iktatószámú támogatási szerződés finanszírozta a Veszprémi Várbörtön felújítást, az ET-INF-2022/986364. iktatószámú támogatási szerződés finanszírozta az "Ember A Rács Mögött” kiállítás megvalósítása elnevezésű beruházást, illetve a várbörtön üzemeltetéséhez kapcsolódik a kiállítás kivezetése, egyben kimenekítési útvonalként is funkcionáló várfalsétány, ami</w:t>
      </w:r>
      <w:r w:rsidR="00887A51">
        <w:rPr>
          <w:rFonts w:ascii="Tahoma" w:hAnsi="Tahoma" w:cs="Tahoma"/>
          <w:sz w:val="22"/>
          <w:szCs w:val="22"/>
        </w:rPr>
        <w:t>nek</w:t>
      </w:r>
      <w:r w:rsidRPr="00AB7469">
        <w:rPr>
          <w:rFonts w:ascii="Tahoma" w:hAnsi="Tahoma" w:cs="Tahoma"/>
          <w:sz w:val="22"/>
          <w:szCs w:val="22"/>
        </w:rPr>
        <w:t xml:space="preserve"> kialakítását az ET-INF-2022/137222 azonosítószámú támogatás finanszírozta. Az Önkormányzat a Várbörtön kiállítóteret </w:t>
      </w:r>
      <w:r w:rsidRPr="00AB7469">
        <w:rPr>
          <w:rFonts w:ascii="Tahoma" w:hAnsi="Tahoma" w:cs="Tahoma"/>
          <w:sz w:val="22"/>
          <w:szCs w:val="22"/>
        </w:rPr>
        <w:lastRenderedPageBreak/>
        <w:t xml:space="preserve">magában foglaló ingatlanrész bemutatóhelyként történő üzemeltetéséről önként vállalt feladatainak körében, közművelődési célra, közfeladat-ellátásra irányuló szerződés keretében üzemelteti a Veszprém-Balaton 2023 Zrt.-vel együttműködve. </w:t>
      </w:r>
    </w:p>
    <w:p w14:paraId="2AA61E0D" w14:textId="09279375" w:rsidR="00A661EF" w:rsidRDefault="00A661EF" w:rsidP="00A661EF">
      <w:pPr>
        <w:numPr>
          <w:ilvl w:val="0"/>
          <w:numId w:val="32"/>
        </w:numPr>
        <w:spacing w:after="200"/>
        <w:contextualSpacing/>
        <w:jc w:val="both"/>
        <w:rPr>
          <w:rFonts w:ascii="Tahoma" w:hAnsi="Tahoma" w:cs="Tahoma"/>
          <w:sz w:val="22"/>
          <w:szCs w:val="22"/>
        </w:rPr>
      </w:pPr>
      <w:r w:rsidRPr="002960C6">
        <w:rPr>
          <w:rFonts w:ascii="Tahoma" w:hAnsi="Tahoma" w:cs="Tahoma"/>
          <w:sz w:val="22"/>
          <w:szCs w:val="22"/>
        </w:rPr>
        <w:t>Veszprém Megyei Jogú Város Önkormányzat</w:t>
      </w:r>
      <w:r w:rsidR="00887A51">
        <w:rPr>
          <w:rFonts w:ascii="Tahoma" w:hAnsi="Tahoma" w:cs="Tahoma"/>
          <w:sz w:val="22"/>
          <w:szCs w:val="22"/>
        </w:rPr>
        <w:t>a</w:t>
      </w:r>
      <w:r w:rsidRPr="002960C6">
        <w:rPr>
          <w:rFonts w:ascii="Tahoma" w:hAnsi="Tahoma" w:cs="Tahoma"/>
          <w:sz w:val="22"/>
          <w:szCs w:val="22"/>
        </w:rPr>
        <w:t xml:space="preserve"> 1/1 arányú kizárólagos tulajdonát képezik a Veszprém –</w:t>
      </w:r>
      <w:r w:rsidR="00887A51">
        <w:rPr>
          <w:rFonts w:ascii="Tahoma" w:hAnsi="Tahoma" w:cs="Tahoma"/>
          <w:sz w:val="22"/>
          <w:szCs w:val="22"/>
        </w:rPr>
        <w:t xml:space="preserve"> </w:t>
      </w:r>
      <w:r w:rsidRPr="002960C6">
        <w:rPr>
          <w:rFonts w:ascii="Tahoma" w:hAnsi="Tahoma" w:cs="Tahoma"/>
          <w:sz w:val="22"/>
          <w:szCs w:val="22"/>
        </w:rPr>
        <w:t>Szentkirályszabadja Repülőtér ingatlanjai, amelyek a Veszprém külterületi 0230/3, 0230/4, 0238/2, 0241/2 és 0241/10 hrsz</w:t>
      </w:r>
      <w:r w:rsidR="00887A51">
        <w:rPr>
          <w:rFonts w:ascii="Tahoma" w:hAnsi="Tahoma" w:cs="Tahoma"/>
          <w:sz w:val="22"/>
          <w:szCs w:val="22"/>
        </w:rPr>
        <w:t>.</w:t>
      </w:r>
      <w:r w:rsidRPr="002960C6">
        <w:rPr>
          <w:rFonts w:ascii="Tahoma" w:hAnsi="Tahoma" w:cs="Tahoma"/>
          <w:sz w:val="22"/>
          <w:szCs w:val="22"/>
        </w:rPr>
        <w:t xml:space="preserve">-ok alatt szerepelnek a földhivatali nyilvántartásban. Az </w:t>
      </w:r>
      <w:r w:rsidR="00887A51">
        <w:rPr>
          <w:rFonts w:ascii="Tahoma" w:hAnsi="Tahoma" w:cs="Tahoma"/>
          <w:sz w:val="22"/>
          <w:szCs w:val="22"/>
        </w:rPr>
        <w:t>ö</w:t>
      </w:r>
      <w:r w:rsidRPr="002960C6">
        <w:rPr>
          <w:rFonts w:ascii="Tahoma" w:hAnsi="Tahoma" w:cs="Tahoma"/>
          <w:sz w:val="22"/>
          <w:szCs w:val="22"/>
        </w:rPr>
        <w:t xml:space="preserve">nkormányzatok, valamint a </w:t>
      </w:r>
      <w:proofErr w:type="spellStart"/>
      <w:r w:rsidRPr="002960C6">
        <w:rPr>
          <w:rFonts w:ascii="Tahoma" w:hAnsi="Tahoma" w:cs="Tahoma"/>
          <w:sz w:val="22"/>
          <w:szCs w:val="22"/>
        </w:rPr>
        <w:t>Hidroplan</w:t>
      </w:r>
      <w:proofErr w:type="spellEnd"/>
      <w:r w:rsidRPr="002960C6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60C6">
        <w:rPr>
          <w:rFonts w:ascii="Tahoma" w:hAnsi="Tahoma" w:cs="Tahoma"/>
          <w:sz w:val="22"/>
          <w:szCs w:val="22"/>
        </w:rPr>
        <w:t>Nord</w:t>
      </w:r>
      <w:proofErr w:type="spellEnd"/>
      <w:r w:rsidRPr="002960C6">
        <w:rPr>
          <w:rFonts w:ascii="Tahoma" w:hAnsi="Tahoma" w:cs="Tahoma"/>
          <w:sz w:val="22"/>
          <w:szCs w:val="22"/>
        </w:rPr>
        <w:t xml:space="preserve"> Kft. 2012 márciusában kötöttek együttműködési megállapodást</w:t>
      </w:r>
      <w:r w:rsidR="002960C6">
        <w:rPr>
          <w:rFonts w:ascii="Tahoma" w:hAnsi="Tahoma" w:cs="Tahoma"/>
          <w:sz w:val="22"/>
          <w:szCs w:val="22"/>
        </w:rPr>
        <w:t>,</w:t>
      </w:r>
      <w:r w:rsidRPr="002960C6">
        <w:rPr>
          <w:rFonts w:ascii="Tahoma" w:hAnsi="Tahoma" w:cs="Tahoma"/>
          <w:sz w:val="22"/>
          <w:szCs w:val="22"/>
        </w:rPr>
        <w:t xml:space="preserve"> amely szerint a </w:t>
      </w:r>
      <w:proofErr w:type="spellStart"/>
      <w:r w:rsidRPr="002960C6">
        <w:rPr>
          <w:rFonts w:ascii="Tahoma" w:hAnsi="Tahoma" w:cs="Tahoma"/>
          <w:sz w:val="22"/>
          <w:szCs w:val="22"/>
        </w:rPr>
        <w:t>Hidroplan</w:t>
      </w:r>
      <w:proofErr w:type="spellEnd"/>
      <w:r w:rsidR="0097677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60C6">
        <w:rPr>
          <w:rFonts w:ascii="Tahoma" w:hAnsi="Tahoma" w:cs="Tahoma"/>
          <w:sz w:val="22"/>
          <w:szCs w:val="22"/>
        </w:rPr>
        <w:t>Nord</w:t>
      </w:r>
      <w:proofErr w:type="spellEnd"/>
      <w:r w:rsidRPr="002960C6">
        <w:rPr>
          <w:rFonts w:ascii="Tahoma" w:hAnsi="Tahoma" w:cs="Tahoma"/>
          <w:sz w:val="22"/>
          <w:szCs w:val="22"/>
        </w:rPr>
        <w:t xml:space="preserve"> Kft. használja és üzemelteti a repülőteret, amíg az </w:t>
      </w:r>
      <w:r w:rsidR="00976770">
        <w:rPr>
          <w:rFonts w:ascii="Tahoma" w:hAnsi="Tahoma" w:cs="Tahoma"/>
          <w:sz w:val="22"/>
          <w:szCs w:val="22"/>
        </w:rPr>
        <w:t>ö</w:t>
      </w:r>
      <w:r w:rsidRPr="002960C6">
        <w:rPr>
          <w:rFonts w:ascii="Tahoma" w:hAnsi="Tahoma" w:cs="Tahoma"/>
          <w:sz w:val="22"/>
          <w:szCs w:val="22"/>
        </w:rPr>
        <w:t xml:space="preserve">nkormányzatok eltérő hasznosítás mellett nem döntenek. Az együttműködési megállapodás megkötésére azért volt szükség, mert a repülőtér üzemeltetéséhez kapcsolódó műszaki-szakmai és személyi feltételeket a </w:t>
      </w:r>
      <w:proofErr w:type="spellStart"/>
      <w:r w:rsidRPr="002960C6">
        <w:rPr>
          <w:rFonts w:ascii="Tahoma" w:hAnsi="Tahoma" w:cs="Tahoma"/>
          <w:sz w:val="22"/>
          <w:szCs w:val="22"/>
        </w:rPr>
        <w:t>Hidroplan</w:t>
      </w:r>
      <w:proofErr w:type="spellEnd"/>
      <w:r w:rsidRPr="002960C6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60C6">
        <w:rPr>
          <w:rFonts w:ascii="Tahoma" w:hAnsi="Tahoma" w:cs="Tahoma"/>
          <w:sz w:val="22"/>
          <w:szCs w:val="22"/>
        </w:rPr>
        <w:t>Nord</w:t>
      </w:r>
      <w:proofErr w:type="spellEnd"/>
      <w:r w:rsidRPr="002960C6">
        <w:rPr>
          <w:rFonts w:ascii="Tahoma" w:hAnsi="Tahoma" w:cs="Tahoma"/>
          <w:sz w:val="22"/>
          <w:szCs w:val="22"/>
        </w:rPr>
        <w:t xml:space="preserve"> Kft</w:t>
      </w:r>
      <w:r w:rsidR="00976770">
        <w:rPr>
          <w:rFonts w:ascii="Tahoma" w:hAnsi="Tahoma" w:cs="Tahoma"/>
          <w:sz w:val="22"/>
          <w:szCs w:val="22"/>
        </w:rPr>
        <w:t>.</w:t>
      </w:r>
      <w:r w:rsidRPr="002960C6">
        <w:rPr>
          <w:rFonts w:ascii="Tahoma" w:hAnsi="Tahoma" w:cs="Tahoma"/>
          <w:sz w:val="22"/>
          <w:szCs w:val="22"/>
        </w:rPr>
        <w:t xml:space="preserve"> tudja biztosítani, a szükséges engedélyekkel rendelkezik.</w:t>
      </w:r>
      <w:r w:rsidR="002960C6" w:rsidRPr="002960C6">
        <w:rPr>
          <w:rFonts w:ascii="Tahoma" w:hAnsi="Tahoma" w:cs="Tahoma"/>
          <w:sz w:val="22"/>
          <w:szCs w:val="22"/>
        </w:rPr>
        <w:t xml:space="preserve"> </w:t>
      </w:r>
      <w:r w:rsidRPr="002960C6">
        <w:rPr>
          <w:rFonts w:ascii="Tahoma" w:hAnsi="Tahoma" w:cs="Tahoma"/>
          <w:sz w:val="22"/>
          <w:szCs w:val="22"/>
        </w:rPr>
        <w:t xml:space="preserve">A </w:t>
      </w:r>
      <w:proofErr w:type="spellStart"/>
      <w:r w:rsidRPr="002960C6">
        <w:rPr>
          <w:rFonts w:ascii="Tahoma" w:hAnsi="Tahoma" w:cs="Tahoma"/>
          <w:sz w:val="22"/>
          <w:szCs w:val="22"/>
        </w:rPr>
        <w:t>Hidroplan</w:t>
      </w:r>
      <w:proofErr w:type="spellEnd"/>
      <w:r w:rsidR="0097677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960C6">
        <w:rPr>
          <w:rFonts w:ascii="Tahoma" w:hAnsi="Tahoma" w:cs="Tahoma"/>
          <w:sz w:val="22"/>
          <w:szCs w:val="22"/>
        </w:rPr>
        <w:t>Nord</w:t>
      </w:r>
      <w:proofErr w:type="spellEnd"/>
      <w:r w:rsidRPr="002960C6">
        <w:rPr>
          <w:rFonts w:ascii="Tahoma" w:hAnsi="Tahoma" w:cs="Tahoma"/>
          <w:sz w:val="22"/>
          <w:szCs w:val="22"/>
        </w:rPr>
        <w:t xml:space="preserve"> Kft. a korábbi ingatlan-nyilvántartás szerinti tulajdonossal, a BudaWesttel kötött bérleti szerződés alapján, valamint az Önkormányzat</w:t>
      </w:r>
      <w:r w:rsidR="002960C6">
        <w:rPr>
          <w:rFonts w:ascii="Tahoma" w:hAnsi="Tahoma" w:cs="Tahoma"/>
          <w:sz w:val="22"/>
          <w:szCs w:val="22"/>
        </w:rPr>
        <w:t>ta</w:t>
      </w:r>
      <w:r w:rsidRPr="002960C6">
        <w:rPr>
          <w:rFonts w:ascii="Tahoma" w:hAnsi="Tahoma" w:cs="Tahoma"/>
          <w:sz w:val="22"/>
          <w:szCs w:val="22"/>
        </w:rPr>
        <w:t>l megkötött együttműködési megállapodás alapján a mai napig használja és üzemelteti, illetve üzemben tartja a repülőtéri területet</w:t>
      </w:r>
      <w:r w:rsidR="002960C6">
        <w:rPr>
          <w:rFonts w:ascii="Tahoma" w:hAnsi="Tahoma" w:cs="Tahoma"/>
          <w:sz w:val="22"/>
          <w:szCs w:val="22"/>
        </w:rPr>
        <w:t xml:space="preserve"> Veszprém város közigazgatási területén</w:t>
      </w:r>
      <w:r w:rsidRPr="002960C6">
        <w:rPr>
          <w:rFonts w:ascii="Tahoma" w:hAnsi="Tahoma" w:cs="Tahoma"/>
          <w:sz w:val="22"/>
          <w:szCs w:val="22"/>
        </w:rPr>
        <w:t>.</w:t>
      </w:r>
      <w:r w:rsidR="002960C6">
        <w:rPr>
          <w:rFonts w:ascii="Tahoma" w:hAnsi="Tahoma" w:cs="Tahoma"/>
          <w:sz w:val="22"/>
          <w:szCs w:val="22"/>
        </w:rPr>
        <w:t xml:space="preserve"> Mivel a hatályos megállapodás 2025. december 31-én megszűnik, a területet az eddigihez hasonló konstrukcióban szükséges tovább működtetni, vagy az önkormányzati tulajdonba adásról szóló 2134/2005. (VII.</w:t>
      </w:r>
      <w:r w:rsidR="00976770">
        <w:rPr>
          <w:rFonts w:ascii="Tahoma" w:hAnsi="Tahoma" w:cs="Tahoma"/>
          <w:sz w:val="22"/>
          <w:szCs w:val="22"/>
        </w:rPr>
        <w:t xml:space="preserve"> </w:t>
      </w:r>
      <w:r w:rsidR="002960C6">
        <w:rPr>
          <w:rFonts w:ascii="Tahoma" w:hAnsi="Tahoma" w:cs="Tahoma"/>
          <w:sz w:val="22"/>
          <w:szCs w:val="22"/>
        </w:rPr>
        <w:t xml:space="preserve">8.) Kormányhatározat alapján </w:t>
      </w:r>
      <w:r w:rsidR="00976770">
        <w:rPr>
          <w:rFonts w:ascii="Tahoma" w:hAnsi="Tahoma" w:cs="Tahoma"/>
          <w:sz w:val="22"/>
          <w:szCs w:val="22"/>
        </w:rPr>
        <w:t>létrejött</w:t>
      </w:r>
      <w:r w:rsidR="002960C6">
        <w:rPr>
          <w:rFonts w:ascii="Tahoma" w:hAnsi="Tahoma" w:cs="Tahoma"/>
          <w:sz w:val="22"/>
          <w:szCs w:val="22"/>
        </w:rPr>
        <w:t xml:space="preserve"> tulajdonba adási szerződés szerint az Önkormányzatnak lehetősége van az ingatlancsoport értékesítésre történő kijelölésére is a </w:t>
      </w:r>
      <w:r w:rsidR="00976770">
        <w:rPr>
          <w:rFonts w:ascii="Tahoma" w:hAnsi="Tahoma" w:cs="Tahoma"/>
          <w:sz w:val="22"/>
          <w:szCs w:val="22"/>
        </w:rPr>
        <w:t>K</w:t>
      </w:r>
      <w:r w:rsidR="002960C6">
        <w:rPr>
          <w:rFonts w:ascii="Tahoma" w:hAnsi="Tahoma" w:cs="Tahoma"/>
          <w:sz w:val="22"/>
          <w:szCs w:val="22"/>
        </w:rPr>
        <w:t>ormányhatározatnak megfelelő célok elérése érdekében, ezek között a repülőtéri funkción túl ipari, logisztikai és tudományos park létesítése is szerepel.</w:t>
      </w:r>
    </w:p>
    <w:p w14:paraId="4A5F2AA7" w14:textId="77777777" w:rsidR="00615393" w:rsidRPr="00AB7469" w:rsidRDefault="00615393" w:rsidP="00615393">
      <w:pPr>
        <w:spacing w:after="200"/>
        <w:ind w:left="720"/>
        <w:contextualSpacing/>
        <w:jc w:val="both"/>
        <w:rPr>
          <w:rFonts w:ascii="Tahoma" w:hAnsi="Tahoma" w:cs="Tahoma"/>
          <w:sz w:val="22"/>
          <w:szCs w:val="22"/>
        </w:rPr>
      </w:pPr>
    </w:p>
    <w:p w14:paraId="3FF41FA9" w14:textId="6DAAD9C6" w:rsidR="00615393" w:rsidRDefault="00615393" w:rsidP="00615393">
      <w:pPr>
        <w:spacing w:after="200"/>
        <w:contextualSpacing/>
        <w:jc w:val="both"/>
        <w:rPr>
          <w:rFonts w:ascii="Tahoma" w:hAnsi="Tahoma" w:cs="Tahoma"/>
          <w:sz w:val="22"/>
          <w:szCs w:val="22"/>
        </w:rPr>
      </w:pPr>
      <w:r w:rsidRPr="00AB7469">
        <w:rPr>
          <w:rFonts w:ascii="Tahoma" w:hAnsi="Tahoma" w:cs="Tahoma"/>
          <w:sz w:val="22"/>
          <w:szCs w:val="22"/>
        </w:rPr>
        <w:t>Az alábbiakban szereplő táblázatban összesítésre kerültek a bérleti szerződések és vagyonkezelési szerződések 2021-2025. években megkötött legjelentősebb tételei, amelyek pozitívan hatnak a bevétel</w:t>
      </w:r>
      <w:r w:rsidR="00976770">
        <w:rPr>
          <w:rFonts w:ascii="Tahoma" w:hAnsi="Tahoma" w:cs="Tahoma"/>
          <w:sz w:val="22"/>
          <w:szCs w:val="22"/>
        </w:rPr>
        <w:t>ekre</w:t>
      </w:r>
      <w:r w:rsidRPr="00AB7469">
        <w:rPr>
          <w:rFonts w:ascii="Tahoma" w:hAnsi="Tahoma" w:cs="Tahoma"/>
          <w:sz w:val="22"/>
          <w:szCs w:val="22"/>
        </w:rPr>
        <w:t xml:space="preserve">. </w:t>
      </w:r>
    </w:p>
    <w:p w14:paraId="4505A07F" w14:textId="77777777" w:rsidR="002546BB" w:rsidRDefault="002546BB" w:rsidP="00615393">
      <w:pPr>
        <w:spacing w:after="200"/>
        <w:contextualSpacing/>
        <w:jc w:val="both"/>
        <w:rPr>
          <w:rFonts w:ascii="Tahoma" w:hAnsi="Tahoma" w:cs="Tahoma"/>
          <w:sz w:val="22"/>
          <w:szCs w:val="22"/>
        </w:rPr>
      </w:pPr>
    </w:p>
    <w:p w14:paraId="68F42E49" w14:textId="5194F60B" w:rsidR="002546BB" w:rsidRPr="00AB7469" w:rsidRDefault="002546BB" w:rsidP="00615393">
      <w:pPr>
        <w:spacing w:after="200"/>
        <w:contextualSpacing/>
        <w:jc w:val="both"/>
        <w:rPr>
          <w:rFonts w:ascii="Tahoma" w:hAnsi="Tahoma" w:cs="Tahoma"/>
          <w:sz w:val="22"/>
          <w:szCs w:val="22"/>
        </w:rPr>
      </w:pPr>
      <w:r w:rsidRPr="002546BB">
        <w:rPr>
          <w:rFonts w:ascii="Tahoma" w:hAnsi="Tahoma" w:cs="Tahoma"/>
          <w:sz w:val="22"/>
          <w:szCs w:val="22"/>
        </w:rPr>
        <w:t xml:space="preserve">Az </w:t>
      </w:r>
      <w:r>
        <w:rPr>
          <w:rFonts w:ascii="Tahoma" w:hAnsi="Tahoma" w:cs="Tahoma"/>
          <w:sz w:val="22"/>
          <w:szCs w:val="22"/>
        </w:rPr>
        <w:t xml:space="preserve">táblázatban </w:t>
      </w:r>
      <w:r w:rsidRPr="002546BB">
        <w:rPr>
          <w:rFonts w:ascii="Tahoma" w:hAnsi="Tahoma" w:cs="Tahoma"/>
          <w:sz w:val="22"/>
          <w:szCs w:val="22"/>
        </w:rPr>
        <w:t>leírtak</w:t>
      </w:r>
      <w:r>
        <w:rPr>
          <w:rFonts w:ascii="Tahoma" w:hAnsi="Tahoma" w:cs="Tahoma"/>
          <w:sz w:val="22"/>
          <w:szCs w:val="22"/>
        </w:rPr>
        <w:t xml:space="preserve">ra </w:t>
      </w:r>
      <w:r w:rsidRPr="002546BB">
        <w:rPr>
          <w:rFonts w:ascii="Tahoma" w:hAnsi="Tahoma" w:cs="Tahoma"/>
          <w:sz w:val="22"/>
          <w:szCs w:val="22"/>
        </w:rPr>
        <w:t>tekintettel 2026. évben a vagyongazdálkodási irányelvek keretében az ingatlan</w:t>
      </w:r>
      <w:r>
        <w:rPr>
          <w:rFonts w:ascii="Tahoma" w:hAnsi="Tahoma" w:cs="Tahoma"/>
          <w:sz w:val="22"/>
          <w:szCs w:val="22"/>
        </w:rPr>
        <w:t>ok hasznosításából</w:t>
      </w:r>
      <w:r w:rsidRPr="002546BB">
        <w:rPr>
          <w:rFonts w:ascii="Tahoma" w:hAnsi="Tahoma" w:cs="Tahoma"/>
          <w:sz w:val="22"/>
          <w:szCs w:val="22"/>
        </w:rPr>
        <w:t xml:space="preserve"> befolyó bevételeket javasoljuk </w:t>
      </w:r>
      <w:r w:rsidR="00A53CFB" w:rsidRPr="00A53CFB">
        <w:rPr>
          <w:rFonts w:ascii="Tahoma" w:hAnsi="Tahoma" w:cs="Tahoma"/>
          <w:sz w:val="22"/>
          <w:szCs w:val="22"/>
        </w:rPr>
        <w:t>12</w:t>
      </w:r>
      <w:r w:rsidRPr="00A53CFB">
        <w:rPr>
          <w:rFonts w:ascii="Tahoma" w:hAnsi="Tahoma" w:cs="Tahoma"/>
          <w:sz w:val="22"/>
          <w:szCs w:val="22"/>
        </w:rPr>
        <w:t>0 millió</w:t>
      </w:r>
      <w:r w:rsidRPr="002546BB">
        <w:rPr>
          <w:rFonts w:ascii="Tahoma" w:hAnsi="Tahoma" w:cs="Tahoma"/>
          <w:sz w:val="22"/>
          <w:szCs w:val="22"/>
        </w:rPr>
        <w:t xml:space="preserve"> forintban meghatározni.</w:t>
      </w:r>
    </w:p>
    <w:p w14:paraId="04FFEE82" w14:textId="77777777" w:rsidR="00E002F6" w:rsidRPr="00AB7469" w:rsidRDefault="00E002F6" w:rsidP="00E002F6">
      <w:pPr>
        <w:spacing w:after="200"/>
        <w:contextualSpacing/>
        <w:jc w:val="both"/>
        <w:rPr>
          <w:rFonts w:ascii="Tahoma" w:hAnsi="Tahoma" w:cs="Tahoma"/>
          <w:sz w:val="22"/>
          <w:szCs w:val="22"/>
        </w:rPr>
      </w:pPr>
    </w:p>
    <w:p w14:paraId="696D9677" w14:textId="4A74113D" w:rsidR="00E002F6" w:rsidRPr="00AB7469" w:rsidRDefault="006459B5" w:rsidP="00E002F6">
      <w:pPr>
        <w:spacing w:after="200"/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</w:t>
      </w:r>
      <w:r w:rsidR="00E002F6" w:rsidRPr="00AB7469">
        <w:rPr>
          <w:rFonts w:ascii="Tahoma" w:hAnsi="Tahoma" w:cs="Tahoma"/>
          <w:sz w:val="22"/>
          <w:szCs w:val="22"/>
        </w:rPr>
        <w:t>. számú táblázat: vagyonkezelési és bérleti díjak</w:t>
      </w:r>
    </w:p>
    <w:p w14:paraId="2C3237A3" w14:textId="77777777" w:rsidR="00E002F6" w:rsidRPr="00AB7469" w:rsidRDefault="00E002F6" w:rsidP="00E002F6">
      <w:pPr>
        <w:spacing w:after="200"/>
        <w:contextualSpacing/>
        <w:jc w:val="both"/>
        <w:rPr>
          <w:rFonts w:ascii="Tahoma" w:hAnsi="Tahoma" w:cs="Tahoma"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155"/>
        <w:gridCol w:w="3231"/>
        <w:gridCol w:w="1418"/>
        <w:gridCol w:w="1447"/>
      </w:tblGrid>
      <w:tr w:rsidR="005E23C0" w:rsidRPr="00AB7469" w14:paraId="4E1FE4C8" w14:textId="77777777" w:rsidTr="00AE4A74">
        <w:trPr>
          <w:trHeight w:val="458"/>
        </w:trPr>
        <w:tc>
          <w:tcPr>
            <w:tcW w:w="1242" w:type="dxa"/>
            <w:vMerge w:val="restart"/>
            <w:shd w:val="clear" w:color="auto" w:fill="D9D9D9"/>
            <w:hideMark/>
          </w:tcPr>
          <w:p w14:paraId="1D8D2AFA" w14:textId="77777777" w:rsidR="00E002F6" w:rsidRPr="00AB7469" w:rsidRDefault="00E002F6" w:rsidP="005F6D0E">
            <w:pPr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Bevétel </w:t>
            </w:r>
            <w:proofErr w:type="spellStart"/>
            <w:r w:rsidRPr="00AB7469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megnev</w:t>
            </w:r>
            <w:proofErr w:type="spellEnd"/>
            <w:r w:rsidRPr="00AB7469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155" w:type="dxa"/>
            <w:vMerge w:val="restart"/>
            <w:shd w:val="clear" w:color="auto" w:fill="D9D9D9"/>
            <w:noWrap/>
            <w:hideMark/>
          </w:tcPr>
          <w:p w14:paraId="4BB68C97" w14:textId="77777777" w:rsidR="00E002F6" w:rsidRPr="00AB7469" w:rsidRDefault="00E002F6" w:rsidP="005F6D0E">
            <w:pPr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Partner megnevezése</w:t>
            </w:r>
          </w:p>
        </w:tc>
        <w:tc>
          <w:tcPr>
            <w:tcW w:w="3231" w:type="dxa"/>
            <w:vMerge w:val="restart"/>
            <w:shd w:val="clear" w:color="auto" w:fill="D9D9D9"/>
            <w:hideMark/>
          </w:tcPr>
          <w:p w14:paraId="353C598B" w14:textId="77777777" w:rsidR="00E002F6" w:rsidRPr="00AB7469" w:rsidRDefault="00E002F6" w:rsidP="005F6D0E">
            <w:pPr>
              <w:tabs>
                <w:tab w:val="left" w:pos="2904"/>
              </w:tabs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Szerződéses feladat megnevezése</w:t>
            </w:r>
          </w:p>
        </w:tc>
        <w:tc>
          <w:tcPr>
            <w:tcW w:w="1418" w:type="dxa"/>
            <w:vMerge w:val="restart"/>
            <w:shd w:val="clear" w:color="auto" w:fill="D9D9D9"/>
            <w:noWrap/>
            <w:hideMark/>
          </w:tcPr>
          <w:p w14:paraId="6743F76B" w14:textId="77777777" w:rsidR="00E002F6" w:rsidRPr="00AB7469" w:rsidRDefault="00E002F6" w:rsidP="005F6D0E">
            <w:pPr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Szerződés kelte</w:t>
            </w:r>
          </w:p>
        </w:tc>
        <w:tc>
          <w:tcPr>
            <w:tcW w:w="1447" w:type="dxa"/>
            <w:vMerge w:val="restart"/>
            <w:shd w:val="clear" w:color="auto" w:fill="D9D9D9"/>
            <w:hideMark/>
          </w:tcPr>
          <w:p w14:paraId="3577C07A" w14:textId="77777777" w:rsidR="00E002F6" w:rsidRPr="00AB7469" w:rsidRDefault="00E002F6" w:rsidP="005F6D0E">
            <w:pPr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A szerződés éves bruttó összege (Ft)</w:t>
            </w:r>
          </w:p>
        </w:tc>
      </w:tr>
      <w:tr w:rsidR="005E23C0" w:rsidRPr="00AB7469" w14:paraId="33D4B3A8" w14:textId="77777777" w:rsidTr="00AE4A74">
        <w:trPr>
          <w:trHeight w:val="458"/>
        </w:trPr>
        <w:tc>
          <w:tcPr>
            <w:tcW w:w="1242" w:type="dxa"/>
            <w:vMerge/>
            <w:shd w:val="clear" w:color="auto" w:fill="D9D9D9"/>
            <w:hideMark/>
          </w:tcPr>
          <w:p w14:paraId="3898AC0A" w14:textId="77777777" w:rsidR="00E002F6" w:rsidRPr="00AB7469" w:rsidRDefault="00E002F6" w:rsidP="005F6D0E">
            <w:pPr>
              <w:rPr>
                <w:rFonts w:ascii="Tahoma" w:eastAsia="Calibri" w:hAnsi="Tahoma" w:cs="Tahom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D9D9D9"/>
            <w:hideMark/>
          </w:tcPr>
          <w:p w14:paraId="540CDE3D" w14:textId="77777777" w:rsidR="00E002F6" w:rsidRPr="00AB7469" w:rsidRDefault="00E002F6" w:rsidP="005F6D0E">
            <w:pPr>
              <w:rPr>
                <w:rFonts w:ascii="Tahoma" w:eastAsia="Calibri" w:hAnsi="Tahoma" w:cs="Tahom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231" w:type="dxa"/>
            <w:vMerge/>
            <w:shd w:val="clear" w:color="auto" w:fill="D9D9D9"/>
            <w:hideMark/>
          </w:tcPr>
          <w:p w14:paraId="0CB6A580" w14:textId="77777777" w:rsidR="00E002F6" w:rsidRPr="00AB7469" w:rsidRDefault="00E002F6" w:rsidP="005F6D0E">
            <w:pPr>
              <w:rPr>
                <w:rFonts w:ascii="Tahoma" w:eastAsia="Calibri" w:hAnsi="Tahoma" w:cs="Tahom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hideMark/>
          </w:tcPr>
          <w:p w14:paraId="55F7E316" w14:textId="77777777" w:rsidR="00E002F6" w:rsidRPr="00AB7469" w:rsidRDefault="00E002F6" w:rsidP="005F6D0E">
            <w:pPr>
              <w:rPr>
                <w:rFonts w:ascii="Tahoma" w:eastAsia="Calibri" w:hAnsi="Tahoma" w:cs="Tahom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47" w:type="dxa"/>
            <w:vMerge/>
            <w:shd w:val="clear" w:color="auto" w:fill="D9D9D9"/>
            <w:hideMark/>
          </w:tcPr>
          <w:p w14:paraId="21CF96B0" w14:textId="77777777" w:rsidR="00E002F6" w:rsidRPr="00AB7469" w:rsidRDefault="00E002F6" w:rsidP="005F6D0E">
            <w:pPr>
              <w:rPr>
                <w:rFonts w:ascii="Tahoma" w:eastAsia="Calibri" w:hAnsi="Tahoma" w:cs="Tahom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E23C0" w:rsidRPr="00AB7469" w14:paraId="6C495E9D" w14:textId="77777777" w:rsidTr="00AE4A74">
        <w:trPr>
          <w:trHeight w:val="458"/>
        </w:trPr>
        <w:tc>
          <w:tcPr>
            <w:tcW w:w="1242" w:type="dxa"/>
            <w:vMerge/>
            <w:shd w:val="clear" w:color="auto" w:fill="D9D9D9"/>
            <w:hideMark/>
          </w:tcPr>
          <w:p w14:paraId="01FD0615" w14:textId="77777777" w:rsidR="00E002F6" w:rsidRPr="00AB7469" w:rsidRDefault="00E002F6" w:rsidP="005F6D0E">
            <w:pPr>
              <w:rPr>
                <w:rFonts w:ascii="Tahoma" w:eastAsia="Calibri" w:hAnsi="Tahoma" w:cs="Tahom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D9D9D9"/>
            <w:hideMark/>
          </w:tcPr>
          <w:p w14:paraId="62DF0322" w14:textId="77777777" w:rsidR="00E002F6" w:rsidRPr="00AB7469" w:rsidRDefault="00E002F6" w:rsidP="005F6D0E">
            <w:pPr>
              <w:rPr>
                <w:rFonts w:ascii="Tahoma" w:eastAsia="Calibri" w:hAnsi="Tahoma" w:cs="Tahom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231" w:type="dxa"/>
            <w:vMerge/>
            <w:shd w:val="clear" w:color="auto" w:fill="D9D9D9"/>
            <w:hideMark/>
          </w:tcPr>
          <w:p w14:paraId="20880F57" w14:textId="77777777" w:rsidR="00E002F6" w:rsidRPr="00AB7469" w:rsidRDefault="00E002F6" w:rsidP="005F6D0E">
            <w:pPr>
              <w:rPr>
                <w:rFonts w:ascii="Tahoma" w:eastAsia="Calibri" w:hAnsi="Tahoma" w:cs="Tahom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hideMark/>
          </w:tcPr>
          <w:p w14:paraId="1EC13AE0" w14:textId="77777777" w:rsidR="00E002F6" w:rsidRPr="00AB7469" w:rsidRDefault="00E002F6" w:rsidP="005F6D0E">
            <w:pPr>
              <w:rPr>
                <w:rFonts w:ascii="Tahoma" w:eastAsia="Calibri" w:hAnsi="Tahoma" w:cs="Tahom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47" w:type="dxa"/>
            <w:vMerge/>
            <w:shd w:val="clear" w:color="auto" w:fill="D9D9D9"/>
            <w:hideMark/>
          </w:tcPr>
          <w:p w14:paraId="75FC54AD" w14:textId="77777777" w:rsidR="00E002F6" w:rsidRPr="00AB7469" w:rsidRDefault="00E002F6" w:rsidP="005F6D0E">
            <w:pPr>
              <w:rPr>
                <w:rFonts w:ascii="Tahoma" w:eastAsia="Calibri" w:hAnsi="Tahoma" w:cs="Tahom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E23C0" w:rsidRPr="00AB7469" w14:paraId="0BB116CC" w14:textId="77777777" w:rsidTr="00AE4A74">
        <w:trPr>
          <w:trHeight w:val="360"/>
        </w:trPr>
        <w:tc>
          <w:tcPr>
            <w:tcW w:w="1242" w:type="dxa"/>
            <w:noWrap/>
            <w:hideMark/>
          </w:tcPr>
          <w:p w14:paraId="55BFB148" w14:textId="1EA890DB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Vagyonkezelési díj</w:t>
            </w:r>
          </w:p>
        </w:tc>
        <w:tc>
          <w:tcPr>
            <w:tcW w:w="2155" w:type="dxa"/>
            <w:noWrap/>
            <w:hideMark/>
          </w:tcPr>
          <w:p w14:paraId="360107ED" w14:textId="5A36EA44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Veszprém 2030 Kft.</w:t>
            </w:r>
            <w:r w:rsidR="00976770">
              <w:rPr>
                <w:rFonts w:ascii="Tahoma" w:eastAsia="Calibri" w:hAnsi="Tahoma" w:cs="Tahoma"/>
                <w:sz w:val="20"/>
                <w:szCs w:val="20"/>
              </w:rPr>
              <w:t xml:space="preserve">, </w:t>
            </w:r>
            <w:r w:rsidR="00976770" w:rsidRPr="00976770">
              <w:rPr>
                <w:rFonts w:ascii="Tahoma" w:eastAsia="Calibri" w:hAnsi="Tahoma" w:cs="Tahoma"/>
                <w:sz w:val="20"/>
                <w:szCs w:val="20"/>
              </w:rPr>
              <w:t>jogutód VVI Kft.</w:t>
            </w:r>
          </w:p>
        </w:tc>
        <w:tc>
          <w:tcPr>
            <w:tcW w:w="3231" w:type="dxa"/>
            <w:noWrap/>
            <w:hideMark/>
          </w:tcPr>
          <w:p w14:paraId="6099D0BC" w14:textId="77777777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Veszprém 4061 hrsz. (Balaton Bútorgyár, Jutasi út 3., + Arany János u. 2.) vagyonkezelés</w:t>
            </w:r>
          </w:p>
        </w:tc>
        <w:tc>
          <w:tcPr>
            <w:tcW w:w="1418" w:type="dxa"/>
            <w:noWrap/>
            <w:hideMark/>
          </w:tcPr>
          <w:p w14:paraId="07E99AA3" w14:textId="77777777" w:rsidR="00E002F6" w:rsidRPr="00AB7469" w:rsidRDefault="00E002F6" w:rsidP="005F6D0E">
            <w:pPr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2023.07.17</w:t>
            </w:r>
          </w:p>
        </w:tc>
        <w:tc>
          <w:tcPr>
            <w:tcW w:w="1447" w:type="dxa"/>
            <w:noWrap/>
            <w:hideMark/>
          </w:tcPr>
          <w:p w14:paraId="27DE06A1" w14:textId="77777777" w:rsidR="00E002F6" w:rsidRPr="00AB7469" w:rsidRDefault="00E002F6" w:rsidP="005F6D0E">
            <w:pPr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4 559 808</w:t>
            </w:r>
          </w:p>
        </w:tc>
      </w:tr>
      <w:tr w:rsidR="005E23C0" w:rsidRPr="00AB7469" w14:paraId="2390944F" w14:textId="77777777" w:rsidTr="00AE4A74">
        <w:trPr>
          <w:trHeight w:val="360"/>
        </w:trPr>
        <w:tc>
          <w:tcPr>
            <w:tcW w:w="1242" w:type="dxa"/>
            <w:noWrap/>
            <w:hideMark/>
          </w:tcPr>
          <w:p w14:paraId="23C44E74" w14:textId="43C9D5C9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Vagyonkezelési díj</w:t>
            </w:r>
          </w:p>
        </w:tc>
        <w:tc>
          <w:tcPr>
            <w:tcW w:w="2155" w:type="dxa"/>
            <w:noWrap/>
            <w:hideMark/>
          </w:tcPr>
          <w:p w14:paraId="3D02706A" w14:textId="0DDCA243" w:rsidR="00E002F6" w:rsidRPr="00AB7469" w:rsidRDefault="00F36464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Veszprém 2030 Kft</w:t>
            </w:r>
            <w:r w:rsidR="00976770">
              <w:rPr>
                <w:rFonts w:ascii="Tahoma" w:eastAsia="Calibri" w:hAnsi="Tahoma" w:cs="Tahoma"/>
                <w:sz w:val="20"/>
                <w:szCs w:val="20"/>
              </w:rPr>
              <w:t xml:space="preserve">., </w:t>
            </w:r>
            <w:r w:rsidR="00976770" w:rsidRPr="00976770">
              <w:rPr>
                <w:rFonts w:ascii="Tahoma" w:eastAsia="Calibri" w:hAnsi="Tahoma" w:cs="Tahoma"/>
                <w:sz w:val="20"/>
                <w:szCs w:val="20"/>
              </w:rPr>
              <w:t>jogutód VVI Kft.</w:t>
            </w:r>
          </w:p>
        </w:tc>
        <w:tc>
          <w:tcPr>
            <w:tcW w:w="3231" w:type="dxa"/>
            <w:noWrap/>
            <w:hideMark/>
          </w:tcPr>
          <w:p w14:paraId="219F55CC" w14:textId="77777777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Veszprém 4038/1 hrsz. (Balaton Bútorgyár, Jutasi út 3., + Arany János u. 2.) vagyonkezelés</w:t>
            </w:r>
          </w:p>
        </w:tc>
        <w:tc>
          <w:tcPr>
            <w:tcW w:w="1418" w:type="dxa"/>
            <w:noWrap/>
            <w:hideMark/>
          </w:tcPr>
          <w:p w14:paraId="78AB2AEE" w14:textId="77777777" w:rsidR="00E002F6" w:rsidRPr="00AB7469" w:rsidRDefault="00E002F6" w:rsidP="005F6D0E">
            <w:pPr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2023.07.17</w:t>
            </w:r>
          </w:p>
        </w:tc>
        <w:tc>
          <w:tcPr>
            <w:tcW w:w="1447" w:type="dxa"/>
            <w:noWrap/>
            <w:hideMark/>
          </w:tcPr>
          <w:p w14:paraId="599AD2A9" w14:textId="77777777" w:rsidR="00E002F6" w:rsidRPr="00AB7469" w:rsidRDefault="00E002F6" w:rsidP="005F6D0E">
            <w:pPr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22 479</w:t>
            </w:r>
          </w:p>
        </w:tc>
      </w:tr>
      <w:tr w:rsidR="005E23C0" w:rsidRPr="00AB7469" w14:paraId="56BAF950" w14:textId="77777777" w:rsidTr="00AE4A74">
        <w:trPr>
          <w:trHeight w:val="360"/>
        </w:trPr>
        <w:tc>
          <w:tcPr>
            <w:tcW w:w="1242" w:type="dxa"/>
            <w:noWrap/>
            <w:hideMark/>
          </w:tcPr>
          <w:p w14:paraId="7C965849" w14:textId="311B4AA6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Vagyonkezelési díj</w:t>
            </w:r>
          </w:p>
        </w:tc>
        <w:tc>
          <w:tcPr>
            <w:tcW w:w="2155" w:type="dxa"/>
            <w:noWrap/>
            <w:hideMark/>
          </w:tcPr>
          <w:p w14:paraId="2EC5F490" w14:textId="2E03DB96" w:rsidR="00E002F6" w:rsidRPr="00AB7469" w:rsidRDefault="00F36464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Veszprém 2030 Kft.</w:t>
            </w:r>
            <w:r w:rsidR="00976770">
              <w:rPr>
                <w:rFonts w:ascii="Tahoma" w:eastAsia="Calibri" w:hAnsi="Tahoma" w:cs="Tahoma"/>
                <w:sz w:val="20"/>
                <w:szCs w:val="20"/>
              </w:rPr>
              <w:t xml:space="preserve">, </w:t>
            </w:r>
            <w:r w:rsidR="00976770" w:rsidRPr="00976770">
              <w:rPr>
                <w:rFonts w:ascii="Tahoma" w:eastAsia="Calibri" w:hAnsi="Tahoma" w:cs="Tahoma"/>
                <w:sz w:val="20"/>
                <w:szCs w:val="20"/>
              </w:rPr>
              <w:t>jogutód VVI Kft.</w:t>
            </w:r>
          </w:p>
        </w:tc>
        <w:tc>
          <w:tcPr>
            <w:tcW w:w="3231" w:type="dxa"/>
            <w:noWrap/>
            <w:hideMark/>
          </w:tcPr>
          <w:p w14:paraId="7B43FE84" w14:textId="77777777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Veszprém 4037 hrsz. (Balaton Bútorgyár, Jutasi út 3., + Arany János u. 2.) vagyonkezelés</w:t>
            </w:r>
          </w:p>
        </w:tc>
        <w:tc>
          <w:tcPr>
            <w:tcW w:w="1418" w:type="dxa"/>
            <w:noWrap/>
            <w:hideMark/>
          </w:tcPr>
          <w:p w14:paraId="7A8815B8" w14:textId="77777777" w:rsidR="00E002F6" w:rsidRPr="00AB7469" w:rsidRDefault="00E002F6" w:rsidP="005F6D0E">
            <w:pPr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2023.07.17</w:t>
            </w:r>
          </w:p>
        </w:tc>
        <w:tc>
          <w:tcPr>
            <w:tcW w:w="1447" w:type="dxa"/>
            <w:noWrap/>
            <w:hideMark/>
          </w:tcPr>
          <w:p w14:paraId="51B63924" w14:textId="77777777" w:rsidR="00E002F6" w:rsidRPr="00AB7469" w:rsidRDefault="00E002F6" w:rsidP="005F6D0E">
            <w:pPr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116 586</w:t>
            </w:r>
          </w:p>
        </w:tc>
      </w:tr>
      <w:tr w:rsidR="005E23C0" w:rsidRPr="00AB7469" w14:paraId="2530D578" w14:textId="77777777" w:rsidTr="00AE4A74">
        <w:trPr>
          <w:trHeight w:val="360"/>
        </w:trPr>
        <w:tc>
          <w:tcPr>
            <w:tcW w:w="1242" w:type="dxa"/>
            <w:noWrap/>
            <w:hideMark/>
          </w:tcPr>
          <w:p w14:paraId="5DFB46BB" w14:textId="77777777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Bérleti díj</w:t>
            </w:r>
          </w:p>
        </w:tc>
        <w:tc>
          <w:tcPr>
            <w:tcW w:w="2155" w:type="dxa"/>
            <w:noWrap/>
            <w:hideMark/>
          </w:tcPr>
          <w:p w14:paraId="0BD55784" w14:textId="77777777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Veszprémi Szakipark Oktató és Gyártó Nonprofit Kft.</w:t>
            </w:r>
          </w:p>
        </w:tc>
        <w:tc>
          <w:tcPr>
            <w:tcW w:w="3231" w:type="dxa"/>
            <w:noWrap/>
            <w:hideMark/>
          </w:tcPr>
          <w:p w14:paraId="128B25CB" w14:textId="77777777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Veszprém 1965/11 hrsz. K épület, 1965/11/B C épület (Házgyári út 1.) bérlet</w:t>
            </w:r>
          </w:p>
        </w:tc>
        <w:tc>
          <w:tcPr>
            <w:tcW w:w="1418" w:type="dxa"/>
            <w:noWrap/>
            <w:hideMark/>
          </w:tcPr>
          <w:p w14:paraId="7F35911E" w14:textId="77777777" w:rsidR="00E002F6" w:rsidRPr="00AB7469" w:rsidRDefault="00E002F6" w:rsidP="005F6D0E">
            <w:pPr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2023.06.01</w:t>
            </w:r>
          </w:p>
        </w:tc>
        <w:tc>
          <w:tcPr>
            <w:tcW w:w="1447" w:type="dxa"/>
            <w:noWrap/>
            <w:hideMark/>
          </w:tcPr>
          <w:p w14:paraId="450D2AD4" w14:textId="77777777" w:rsidR="00E002F6" w:rsidRPr="00AB7469" w:rsidRDefault="00E002F6" w:rsidP="005F6D0E">
            <w:pPr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15.240.000</w:t>
            </w:r>
          </w:p>
        </w:tc>
      </w:tr>
      <w:tr w:rsidR="005E23C0" w:rsidRPr="00AB7469" w14:paraId="45BFD628" w14:textId="77777777" w:rsidTr="00AE4A74">
        <w:trPr>
          <w:trHeight w:val="360"/>
        </w:trPr>
        <w:tc>
          <w:tcPr>
            <w:tcW w:w="1242" w:type="dxa"/>
            <w:noWrap/>
            <w:hideMark/>
          </w:tcPr>
          <w:p w14:paraId="5D7A16E3" w14:textId="7F0B98D8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lastRenderedPageBreak/>
              <w:t>Vagyonkezelési díj</w:t>
            </w:r>
          </w:p>
        </w:tc>
        <w:tc>
          <w:tcPr>
            <w:tcW w:w="2155" w:type="dxa"/>
            <w:noWrap/>
            <w:hideMark/>
          </w:tcPr>
          <w:p w14:paraId="2FCCE872" w14:textId="20B6674C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"VKSZ" Zrt.</w:t>
            </w:r>
            <w:r w:rsidR="00F36464" w:rsidRPr="00AB7469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31" w:type="dxa"/>
            <w:noWrap/>
            <w:hideMark/>
          </w:tcPr>
          <w:p w14:paraId="62FE190E" w14:textId="77777777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Veszprém 4061/A hrsz. (Balaton Bútorgyár, Jutasi út 3.) vagyonkezelés</w:t>
            </w:r>
          </w:p>
        </w:tc>
        <w:tc>
          <w:tcPr>
            <w:tcW w:w="1418" w:type="dxa"/>
            <w:noWrap/>
            <w:hideMark/>
          </w:tcPr>
          <w:p w14:paraId="49141E67" w14:textId="77777777" w:rsidR="00E002F6" w:rsidRPr="00AB7469" w:rsidRDefault="00E002F6" w:rsidP="005F6D0E">
            <w:pPr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2022.03.01</w:t>
            </w:r>
          </w:p>
        </w:tc>
        <w:tc>
          <w:tcPr>
            <w:tcW w:w="1447" w:type="dxa"/>
            <w:noWrap/>
            <w:hideMark/>
          </w:tcPr>
          <w:p w14:paraId="2DE44E97" w14:textId="025A35B6" w:rsidR="00E002F6" w:rsidRPr="00976770" w:rsidRDefault="00E002F6" w:rsidP="00F36464">
            <w:pPr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976770">
              <w:rPr>
                <w:rFonts w:ascii="Tahoma" w:eastAsia="Calibri" w:hAnsi="Tahoma" w:cs="Tahoma"/>
                <w:sz w:val="20"/>
                <w:szCs w:val="20"/>
              </w:rPr>
              <w:t>9 144</w:t>
            </w:r>
            <w:r w:rsidR="00F36464" w:rsidRPr="00976770">
              <w:rPr>
                <w:rFonts w:ascii="Tahoma" w:eastAsia="Calibri" w:hAnsi="Tahoma" w:cs="Tahoma"/>
                <w:sz w:val="20"/>
                <w:szCs w:val="20"/>
              </w:rPr>
              <w:t> </w:t>
            </w:r>
            <w:r w:rsidRPr="00976770">
              <w:rPr>
                <w:rFonts w:ascii="Tahoma" w:eastAsia="Calibri" w:hAnsi="Tahoma" w:cs="Tahoma"/>
                <w:sz w:val="20"/>
                <w:szCs w:val="20"/>
              </w:rPr>
              <w:t>000</w:t>
            </w:r>
          </w:p>
          <w:p w14:paraId="23DF39F9" w14:textId="10A5A528" w:rsidR="00F36464" w:rsidRPr="00976770" w:rsidRDefault="00F36464" w:rsidP="00F36464">
            <w:pPr>
              <w:jc w:val="right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</w:tc>
      </w:tr>
      <w:tr w:rsidR="005E23C0" w:rsidRPr="00AB7469" w14:paraId="4EE25407" w14:textId="77777777" w:rsidTr="00AE4A74">
        <w:trPr>
          <w:trHeight w:val="360"/>
        </w:trPr>
        <w:tc>
          <w:tcPr>
            <w:tcW w:w="1242" w:type="dxa"/>
            <w:noWrap/>
            <w:hideMark/>
          </w:tcPr>
          <w:p w14:paraId="6B87880E" w14:textId="77777777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Bérleti díj</w:t>
            </w:r>
          </w:p>
        </w:tc>
        <w:tc>
          <w:tcPr>
            <w:tcW w:w="2155" w:type="dxa"/>
            <w:noWrap/>
            <w:hideMark/>
          </w:tcPr>
          <w:p w14:paraId="497B84E2" w14:textId="77777777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Veszprém-Balaton 2023 Zrt.</w:t>
            </w:r>
          </w:p>
        </w:tc>
        <w:tc>
          <w:tcPr>
            <w:tcW w:w="3231" w:type="dxa"/>
            <w:noWrap/>
            <w:hideMark/>
          </w:tcPr>
          <w:p w14:paraId="22A5BF6D" w14:textId="77777777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Veszprém 131 hrsz. (Dózsa György u. 2.) bérlet</w:t>
            </w:r>
          </w:p>
        </w:tc>
        <w:tc>
          <w:tcPr>
            <w:tcW w:w="1418" w:type="dxa"/>
            <w:noWrap/>
            <w:hideMark/>
          </w:tcPr>
          <w:p w14:paraId="4BAD6C99" w14:textId="77777777" w:rsidR="00E002F6" w:rsidRPr="00AB7469" w:rsidRDefault="00E002F6" w:rsidP="005F6D0E">
            <w:pPr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2021.03.01</w:t>
            </w:r>
          </w:p>
        </w:tc>
        <w:tc>
          <w:tcPr>
            <w:tcW w:w="1447" w:type="dxa"/>
            <w:noWrap/>
            <w:hideMark/>
          </w:tcPr>
          <w:p w14:paraId="572C05AB" w14:textId="2963ADDE" w:rsidR="00E002F6" w:rsidRPr="00AB7469" w:rsidRDefault="003656B7" w:rsidP="005F6D0E">
            <w:pPr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41</w:t>
            </w:r>
            <w:r w:rsidR="00E002F6" w:rsidRPr="00AB7469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Calibri" w:hAnsi="Tahoma" w:cs="Tahoma"/>
                <w:sz w:val="20"/>
                <w:szCs w:val="20"/>
              </w:rPr>
              <w:t>788</w:t>
            </w:r>
            <w:r w:rsidR="00E002F6" w:rsidRPr="00AB7469">
              <w:rPr>
                <w:rFonts w:ascii="Tahoma" w:eastAsia="Calibri" w:hAnsi="Tahoma" w:cs="Tahoma"/>
                <w:sz w:val="20"/>
                <w:szCs w:val="20"/>
              </w:rPr>
              <w:t xml:space="preserve"> 0</w:t>
            </w: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E002F6" w:rsidRPr="00AB7469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</w:tc>
      </w:tr>
      <w:tr w:rsidR="005E23C0" w:rsidRPr="00AB7469" w14:paraId="63710CF5" w14:textId="77777777" w:rsidTr="00AE4A74">
        <w:trPr>
          <w:trHeight w:val="360"/>
        </w:trPr>
        <w:tc>
          <w:tcPr>
            <w:tcW w:w="1242" w:type="dxa"/>
            <w:noWrap/>
            <w:hideMark/>
          </w:tcPr>
          <w:p w14:paraId="5BBE6164" w14:textId="7AF38ECD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Vagyonkezelési díj</w:t>
            </w:r>
          </w:p>
        </w:tc>
        <w:tc>
          <w:tcPr>
            <w:tcW w:w="2155" w:type="dxa"/>
            <w:noWrap/>
            <w:hideMark/>
          </w:tcPr>
          <w:p w14:paraId="111F5DE6" w14:textId="77777777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"VKSZ" Zrt.</w:t>
            </w:r>
          </w:p>
          <w:p w14:paraId="47B7E7CB" w14:textId="53641D82" w:rsidR="00CA29AB" w:rsidRPr="00976770" w:rsidRDefault="00CA29AB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976770">
              <w:rPr>
                <w:rFonts w:ascii="Tahoma" w:eastAsia="Calibri" w:hAnsi="Tahoma" w:cs="Tahoma"/>
                <w:sz w:val="20"/>
                <w:szCs w:val="20"/>
              </w:rPr>
              <w:t xml:space="preserve">(vagyonkezelési szerződés megszűnik 2025. októberben, VKSZ </w:t>
            </w:r>
            <w:proofErr w:type="spellStart"/>
            <w:r w:rsidRPr="00976770">
              <w:rPr>
                <w:rFonts w:ascii="Tahoma" w:eastAsia="Calibri" w:hAnsi="Tahoma" w:cs="Tahoma"/>
                <w:sz w:val="20"/>
                <w:szCs w:val="20"/>
              </w:rPr>
              <w:t>Zrt.-hez</w:t>
            </w:r>
            <w:proofErr w:type="spellEnd"/>
            <w:r w:rsidRPr="00976770">
              <w:rPr>
                <w:rFonts w:ascii="Tahoma" w:eastAsia="Calibri" w:hAnsi="Tahoma" w:cs="Tahoma"/>
                <w:sz w:val="20"/>
                <w:szCs w:val="20"/>
              </w:rPr>
              <w:t xml:space="preserve"> kerül apportként</w:t>
            </w:r>
            <w:r w:rsidR="00DB46E0" w:rsidRPr="00976770">
              <w:rPr>
                <w:rFonts w:ascii="Tahoma" w:eastAsia="Calibri" w:hAnsi="Tahoma" w:cs="Tahoma"/>
                <w:sz w:val="20"/>
                <w:szCs w:val="20"/>
              </w:rPr>
              <w:t>)</w:t>
            </w:r>
          </w:p>
          <w:p w14:paraId="31AB12CB" w14:textId="77777777" w:rsidR="00CA29AB" w:rsidRPr="00AB7469" w:rsidRDefault="00CA29AB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231" w:type="dxa"/>
            <w:noWrap/>
            <w:hideMark/>
          </w:tcPr>
          <w:p w14:paraId="0AFCCAF1" w14:textId="77777777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Veszprém 4079 hrsz. (kivett vásárcsarnok) vagyonkezelés</w:t>
            </w:r>
          </w:p>
        </w:tc>
        <w:tc>
          <w:tcPr>
            <w:tcW w:w="1418" w:type="dxa"/>
            <w:noWrap/>
            <w:hideMark/>
          </w:tcPr>
          <w:p w14:paraId="1F02472F" w14:textId="77777777" w:rsidR="00E002F6" w:rsidRPr="00AB7469" w:rsidRDefault="00E002F6" w:rsidP="005F6D0E">
            <w:pPr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2021.02.01</w:t>
            </w:r>
          </w:p>
        </w:tc>
        <w:tc>
          <w:tcPr>
            <w:tcW w:w="1447" w:type="dxa"/>
            <w:noWrap/>
            <w:hideMark/>
          </w:tcPr>
          <w:p w14:paraId="3571A26D" w14:textId="77777777" w:rsidR="00E002F6" w:rsidRPr="00AB7469" w:rsidRDefault="00E002F6" w:rsidP="005F6D0E">
            <w:pPr>
              <w:jc w:val="right"/>
              <w:rPr>
                <w:rFonts w:ascii="Tahoma" w:eastAsia="Calibri" w:hAnsi="Tahoma" w:cs="Tahoma"/>
                <w:strike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trike/>
                <w:sz w:val="20"/>
                <w:szCs w:val="20"/>
              </w:rPr>
              <w:t>25 400 000</w:t>
            </w:r>
          </w:p>
        </w:tc>
      </w:tr>
      <w:tr w:rsidR="005E23C0" w:rsidRPr="00AB7469" w14:paraId="37F837E0" w14:textId="77777777" w:rsidTr="00AE4A74">
        <w:trPr>
          <w:trHeight w:val="360"/>
        </w:trPr>
        <w:tc>
          <w:tcPr>
            <w:tcW w:w="1242" w:type="dxa"/>
            <w:noWrap/>
            <w:hideMark/>
          </w:tcPr>
          <w:p w14:paraId="030AF949" w14:textId="6CBA43E2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Vagyonkezelési díj</w:t>
            </w:r>
          </w:p>
        </w:tc>
        <w:tc>
          <w:tcPr>
            <w:tcW w:w="2155" w:type="dxa"/>
            <w:noWrap/>
            <w:hideMark/>
          </w:tcPr>
          <w:p w14:paraId="570A16AC" w14:textId="21893C5F" w:rsidR="00E002F6" w:rsidRPr="00AB7469" w:rsidRDefault="004C24FA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Veszprém 2030 Kft.</w:t>
            </w:r>
            <w:r w:rsidR="00976770">
              <w:rPr>
                <w:rFonts w:ascii="Tahoma" w:eastAsia="Calibri" w:hAnsi="Tahoma" w:cs="Tahoma"/>
                <w:sz w:val="20"/>
                <w:szCs w:val="20"/>
              </w:rPr>
              <w:t xml:space="preserve">, </w:t>
            </w:r>
            <w:r w:rsidR="00976770" w:rsidRPr="00976770">
              <w:rPr>
                <w:rFonts w:ascii="Tahoma" w:eastAsia="Calibri" w:hAnsi="Tahoma" w:cs="Tahoma"/>
                <w:sz w:val="20"/>
                <w:szCs w:val="20"/>
              </w:rPr>
              <w:t>jogutód VVI Kft.</w:t>
            </w:r>
          </w:p>
        </w:tc>
        <w:tc>
          <w:tcPr>
            <w:tcW w:w="3231" w:type="dxa"/>
            <w:noWrap/>
            <w:hideMark/>
          </w:tcPr>
          <w:p w14:paraId="3914A452" w14:textId="77777777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Veszprém 4726/4 hrsz. (Ady E. u. 5.) vagyonkezelés</w:t>
            </w:r>
          </w:p>
        </w:tc>
        <w:tc>
          <w:tcPr>
            <w:tcW w:w="1418" w:type="dxa"/>
            <w:noWrap/>
            <w:hideMark/>
          </w:tcPr>
          <w:p w14:paraId="67F0B47B" w14:textId="77777777" w:rsidR="00E002F6" w:rsidRPr="00AB7469" w:rsidRDefault="00E002F6" w:rsidP="005F6D0E">
            <w:pPr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2022.06.30</w:t>
            </w:r>
          </w:p>
        </w:tc>
        <w:tc>
          <w:tcPr>
            <w:tcW w:w="1447" w:type="dxa"/>
            <w:noWrap/>
            <w:hideMark/>
          </w:tcPr>
          <w:p w14:paraId="1848B298" w14:textId="77777777" w:rsidR="00E002F6" w:rsidRPr="00AB7469" w:rsidRDefault="00E002F6" w:rsidP="005F6D0E">
            <w:pPr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2 286 000</w:t>
            </w:r>
          </w:p>
        </w:tc>
      </w:tr>
      <w:tr w:rsidR="005E23C0" w:rsidRPr="00AB7469" w14:paraId="3E19652B" w14:textId="77777777" w:rsidTr="00AE4A74">
        <w:trPr>
          <w:trHeight w:val="360"/>
        </w:trPr>
        <w:tc>
          <w:tcPr>
            <w:tcW w:w="1242" w:type="dxa"/>
            <w:noWrap/>
            <w:hideMark/>
          </w:tcPr>
          <w:p w14:paraId="4884713A" w14:textId="77777777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Bérleti díj</w:t>
            </w:r>
          </w:p>
        </w:tc>
        <w:tc>
          <w:tcPr>
            <w:tcW w:w="2155" w:type="dxa"/>
            <w:noWrap/>
            <w:hideMark/>
          </w:tcPr>
          <w:p w14:paraId="1BF8AAA5" w14:textId="77777777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 xml:space="preserve">Patent </w:t>
            </w:r>
            <w:proofErr w:type="spellStart"/>
            <w:r w:rsidRPr="00AB7469">
              <w:rPr>
                <w:rFonts w:ascii="Tahoma" w:eastAsia="Calibri" w:hAnsi="Tahoma" w:cs="Tahoma"/>
                <w:sz w:val="20"/>
                <w:szCs w:val="20"/>
              </w:rPr>
              <w:t>Hostel</w:t>
            </w:r>
            <w:proofErr w:type="spellEnd"/>
            <w:r w:rsidRPr="00AB7469">
              <w:rPr>
                <w:rFonts w:ascii="Tahoma" w:eastAsia="Calibri" w:hAnsi="Tahoma" w:cs="Tahoma"/>
                <w:sz w:val="20"/>
                <w:szCs w:val="20"/>
              </w:rPr>
              <w:t xml:space="preserve"> Kft.</w:t>
            </w:r>
          </w:p>
        </w:tc>
        <w:tc>
          <w:tcPr>
            <w:tcW w:w="3231" w:type="dxa"/>
            <w:noWrap/>
            <w:hideMark/>
          </w:tcPr>
          <w:p w14:paraId="2DB736FD" w14:textId="77777777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 xml:space="preserve">Veszprém 199 hrsz. (Jókai Mór u. 8.) 35 fő </w:t>
            </w:r>
            <w:proofErr w:type="spellStart"/>
            <w:r w:rsidRPr="00AB7469">
              <w:rPr>
                <w:rFonts w:ascii="Tahoma" w:eastAsia="Calibri" w:hAnsi="Tahoma" w:cs="Tahoma"/>
                <w:sz w:val="20"/>
                <w:szCs w:val="20"/>
              </w:rPr>
              <w:t>hostel</w:t>
            </w:r>
            <w:proofErr w:type="spellEnd"/>
            <w:r w:rsidRPr="00AB7469">
              <w:rPr>
                <w:rFonts w:ascii="Tahoma" w:eastAsia="Calibri" w:hAnsi="Tahoma" w:cs="Tahoma"/>
                <w:sz w:val="20"/>
                <w:szCs w:val="20"/>
              </w:rPr>
              <w:t xml:space="preserve"> (várbörtön látogatóknak is) bérleti szerződés</w:t>
            </w:r>
          </w:p>
        </w:tc>
        <w:tc>
          <w:tcPr>
            <w:tcW w:w="1418" w:type="dxa"/>
            <w:noWrap/>
            <w:hideMark/>
          </w:tcPr>
          <w:p w14:paraId="68C5407B" w14:textId="77777777" w:rsidR="00E002F6" w:rsidRPr="00AB7469" w:rsidRDefault="00E002F6" w:rsidP="005F6D0E">
            <w:pPr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2022.02.24</w:t>
            </w:r>
          </w:p>
        </w:tc>
        <w:tc>
          <w:tcPr>
            <w:tcW w:w="1447" w:type="dxa"/>
            <w:noWrap/>
            <w:hideMark/>
          </w:tcPr>
          <w:p w14:paraId="72478DD7" w14:textId="77777777" w:rsidR="00E002F6" w:rsidRPr="00AB7469" w:rsidRDefault="00E002F6" w:rsidP="005F6D0E">
            <w:pPr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7 315 200</w:t>
            </w:r>
          </w:p>
        </w:tc>
      </w:tr>
      <w:tr w:rsidR="005E23C0" w:rsidRPr="00AB7469" w14:paraId="1FAEF2D9" w14:textId="77777777" w:rsidTr="00AE4A74">
        <w:trPr>
          <w:trHeight w:val="360"/>
        </w:trPr>
        <w:tc>
          <w:tcPr>
            <w:tcW w:w="1242" w:type="dxa"/>
            <w:noWrap/>
          </w:tcPr>
          <w:p w14:paraId="6F4B0A65" w14:textId="77777777" w:rsidR="00E002F6" w:rsidRPr="00AB7469" w:rsidRDefault="00E002F6" w:rsidP="005F6D0E">
            <w:pPr>
              <w:ind w:right="-59"/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Bérleti díj</w:t>
            </w:r>
          </w:p>
        </w:tc>
        <w:tc>
          <w:tcPr>
            <w:tcW w:w="2155" w:type="dxa"/>
            <w:noWrap/>
          </w:tcPr>
          <w:p w14:paraId="2CDAB47C" w14:textId="4DA2553E" w:rsidR="00E002F6" w:rsidRPr="00AB7469" w:rsidRDefault="00C7345A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Veszprém 2030 Kft.</w:t>
            </w:r>
            <w:r w:rsidR="00976770">
              <w:rPr>
                <w:rFonts w:ascii="Tahoma" w:eastAsia="Calibri" w:hAnsi="Tahoma" w:cs="Tahoma"/>
                <w:sz w:val="20"/>
                <w:szCs w:val="20"/>
              </w:rPr>
              <w:t>,</w:t>
            </w:r>
            <w:r w:rsidR="00976770" w:rsidRPr="00976770">
              <w:rPr>
                <w:rFonts w:ascii="Tahoma" w:eastAsia="Calibri" w:hAnsi="Tahoma" w:cs="Tahoma"/>
                <w:sz w:val="20"/>
                <w:szCs w:val="20"/>
              </w:rPr>
              <w:t xml:space="preserve"> jogutód VVI Kft.</w:t>
            </w:r>
          </w:p>
        </w:tc>
        <w:tc>
          <w:tcPr>
            <w:tcW w:w="3231" w:type="dxa"/>
            <w:noWrap/>
          </w:tcPr>
          <w:p w14:paraId="5D4AD32F" w14:textId="34E7A2EA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Veszprém 304/2 hrsz. (Deák Ferenc u. 2.) Művészeti fejlesztő központ</w:t>
            </w:r>
          </w:p>
        </w:tc>
        <w:tc>
          <w:tcPr>
            <w:tcW w:w="1418" w:type="dxa"/>
            <w:noWrap/>
          </w:tcPr>
          <w:p w14:paraId="1A949F9F" w14:textId="77777777" w:rsidR="00E002F6" w:rsidRPr="00AB7469" w:rsidRDefault="00E002F6" w:rsidP="005F6D0E">
            <w:pPr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2022.07.18</w:t>
            </w:r>
          </w:p>
        </w:tc>
        <w:tc>
          <w:tcPr>
            <w:tcW w:w="1447" w:type="dxa"/>
            <w:noWrap/>
          </w:tcPr>
          <w:p w14:paraId="52BC5FAB" w14:textId="77777777" w:rsidR="00E002F6" w:rsidRPr="00AB7469" w:rsidRDefault="00E002F6" w:rsidP="005F6D0E">
            <w:pPr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3.505.200</w:t>
            </w:r>
          </w:p>
        </w:tc>
      </w:tr>
      <w:tr w:rsidR="005E23C0" w:rsidRPr="00AB7469" w14:paraId="7D4E476A" w14:textId="77777777" w:rsidTr="00AE4A74">
        <w:trPr>
          <w:trHeight w:val="360"/>
        </w:trPr>
        <w:tc>
          <w:tcPr>
            <w:tcW w:w="1242" w:type="dxa"/>
            <w:noWrap/>
            <w:hideMark/>
          </w:tcPr>
          <w:p w14:paraId="15A72C80" w14:textId="77777777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Bérleti díj</w:t>
            </w:r>
          </w:p>
        </w:tc>
        <w:tc>
          <w:tcPr>
            <w:tcW w:w="2155" w:type="dxa"/>
            <w:noWrap/>
            <w:hideMark/>
          </w:tcPr>
          <w:p w14:paraId="4962F0C8" w14:textId="527C8EDE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proofErr w:type="spellStart"/>
            <w:r w:rsidRPr="00AB7469">
              <w:rPr>
                <w:rFonts w:ascii="Tahoma" w:eastAsia="Calibri" w:hAnsi="Tahoma" w:cs="Tahoma"/>
                <w:sz w:val="20"/>
                <w:szCs w:val="20"/>
              </w:rPr>
              <w:t>Swing-Swing</w:t>
            </w:r>
            <w:proofErr w:type="spellEnd"/>
            <w:r w:rsidRPr="00AB7469">
              <w:rPr>
                <w:rFonts w:ascii="Tahoma" w:eastAsia="Calibri" w:hAnsi="Tahoma" w:cs="Tahoma"/>
                <w:sz w:val="20"/>
                <w:szCs w:val="20"/>
              </w:rPr>
              <w:t xml:space="preserve"> Kft.</w:t>
            </w:r>
            <w:r w:rsidR="00976770">
              <w:rPr>
                <w:rFonts w:ascii="Tahoma" w:eastAsia="Calibri" w:hAnsi="Tahoma" w:cs="Tahoma"/>
                <w:sz w:val="20"/>
                <w:szCs w:val="20"/>
              </w:rPr>
              <w:t xml:space="preserve">, </w:t>
            </w:r>
            <w:r w:rsidR="00976770" w:rsidRPr="00976770">
              <w:rPr>
                <w:rFonts w:ascii="Tahoma" w:eastAsia="Calibri" w:hAnsi="Tahoma" w:cs="Tahoma"/>
                <w:sz w:val="20"/>
                <w:szCs w:val="20"/>
              </w:rPr>
              <w:t>jogutód VVI Kft.</w:t>
            </w:r>
          </w:p>
        </w:tc>
        <w:tc>
          <w:tcPr>
            <w:tcW w:w="3231" w:type="dxa"/>
            <w:noWrap/>
            <w:hideMark/>
          </w:tcPr>
          <w:p w14:paraId="73BC1107" w14:textId="77777777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 xml:space="preserve">Veszprém 5045 hrsz. </w:t>
            </w:r>
            <w:proofErr w:type="spellStart"/>
            <w:r w:rsidRPr="00AB7469">
              <w:rPr>
                <w:rFonts w:ascii="Tahoma" w:eastAsia="Calibri" w:hAnsi="Tahoma" w:cs="Tahoma"/>
                <w:sz w:val="20"/>
                <w:szCs w:val="20"/>
              </w:rPr>
              <w:t>Acticity</w:t>
            </w:r>
            <w:proofErr w:type="spellEnd"/>
            <w:r w:rsidRPr="00AB7469">
              <w:rPr>
                <w:rFonts w:ascii="Tahoma" w:eastAsia="Calibri" w:hAnsi="Tahoma" w:cs="Tahoma"/>
                <w:sz w:val="20"/>
                <w:szCs w:val="20"/>
              </w:rPr>
              <w:t xml:space="preserve"> (Hóvirág u. 1.) bérleti szerződés</w:t>
            </w:r>
          </w:p>
        </w:tc>
        <w:tc>
          <w:tcPr>
            <w:tcW w:w="1418" w:type="dxa"/>
            <w:noWrap/>
            <w:hideMark/>
          </w:tcPr>
          <w:p w14:paraId="10E63AB9" w14:textId="77777777" w:rsidR="00E002F6" w:rsidRPr="00AB7469" w:rsidRDefault="00E002F6" w:rsidP="005F6D0E">
            <w:pPr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2022.02.08</w:t>
            </w:r>
          </w:p>
        </w:tc>
        <w:tc>
          <w:tcPr>
            <w:tcW w:w="1447" w:type="dxa"/>
            <w:noWrap/>
            <w:hideMark/>
          </w:tcPr>
          <w:p w14:paraId="6B678460" w14:textId="77777777" w:rsidR="00E002F6" w:rsidRPr="00AB7469" w:rsidRDefault="00E002F6" w:rsidP="005F6D0E">
            <w:pPr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63 309 500</w:t>
            </w:r>
          </w:p>
        </w:tc>
      </w:tr>
      <w:tr w:rsidR="005E23C0" w:rsidRPr="00AB7469" w14:paraId="581A4619" w14:textId="77777777" w:rsidTr="00AE4A74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16A71E" w14:textId="77777777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Bérleti díj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15FC3E" w14:textId="77777777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Várkultúra Plusz Kft.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7AC843" w14:textId="77777777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 xml:space="preserve">Veszprém 236 hrsz. (Vár u. 17.) </w:t>
            </w:r>
            <w:proofErr w:type="spellStart"/>
            <w:r w:rsidRPr="00AB7469">
              <w:rPr>
                <w:rFonts w:ascii="Tahoma" w:eastAsia="Calibri" w:hAnsi="Tahoma" w:cs="Tahoma"/>
                <w:sz w:val="20"/>
                <w:szCs w:val="20"/>
              </w:rPr>
              <w:t>Simoga</w:t>
            </w:r>
            <w:proofErr w:type="spellEnd"/>
            <w:r w:rsidRPr="00AB7469">
              <w:rPr>
                <w:rFonts w:ascii="Tahoma" w:eastAsia="Calibri" w:hAnsi="Tahoma" w:cs="Tahoma"/>
                <w:sz w:val="20"/>
                <w:szCs w:val="20"/>
              </w:rPr>
              <w:t xml:space="preserve"> ház bérleti szerződés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61A834" w14:textId="77777777" w:rsidR="00E002F6" w:rsidRPr="00AB7469" w:rsidRDefault="00E002F6" w:rsidP="005F6D0E">
            <w:pPr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2022.10.14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7EA204" w14:textId="77777777" w:rsidR="00E002F6" w:rsidRPr="00AB7469" w:rsidRDefault="00E002F6" w:rsidP="005F6D0E">
            <w:pPr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6.019.800</w:t>
            </w:r>
          </w:p>
        </w:tc>
      </w:tr>
      <w:tr w:rsidR="005E23C0" w:rsidRPr="00AB7469" w14:paraId="27D17241" w14:textId="77777777" w:rsidTr="00AE4A74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001456" w14:textId="77777777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Bérleti díj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8E642" w14:textId="77777777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„NOVITAS-INVEST” Kft.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6429B" w14:textId="77777777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Veszprém 5043 hrsz. (Komakút tér 4.)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75E981" w14:textId="77777777" w:rsidR="00E002F6" w:rsidRPr="00AB7469" w:rsidRDefault="00E002F6" w:rsidP="005F6D0E">
            <w:pPr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2024.11.20.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8BF8B8" w14:textId="77777777" w:rsidR="00E002F6" w:rsidRPr="00AB7469" w:rsidRDefault="00E002F6" w:rsidP="005F6D0E">
            <w:pPr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9.159.240</w:t>
            </w:r>
          </w:p>
        </w:tc>
      </w:tr>
      <w:tr w:rsidR="005E23C0" w:rsidRPr="00AB7469" w14:paraId="68118756" w14:textId="77777777" w:rsidTr="00AE4A74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18DF10" w14:textId="77777777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Vagyonkezelési díj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322C2C" w14:textId="07E4B446" w:rsidR="00E002F6" w:rsidRPr="00976770" w:rsidRDefault="001F396C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976770">
              <w:rPr>
                <w:rFonts w:ascii="Tahoma" w:eastAsia="Calibri" w:hAnsi="Tahoma" w:cs="Tahoma"/>
                <w:sz w:val="20"/>
                <w:szCs w:val="20"/>
              </w:rPr>
              <w:t>Veszprém 2030 Kft.</w:t>
            </w:r>
            <w:r w:rsidR="00976770" w:rsidRPr="00976770">
              <w:rPr>
                <w:rFonts w:ascii="Tahoma" w:eastAsia="Calibri" w:hAnsi="Tahoma" w:cs="Tahoma"/>
                <w:sz w:val="20"/>
                <w:szCs w:val="20"/>
              </w:rPr>
              <w:t xml:space="preserve">, </w:t>
            </w:r>
            <w:r w:rsidRPr="00976770">
              <w:rPr>
                <w:rFonts w:ascii="Tahoma" w:eastAsia="Calibri" w:hAnsi="Tahoma" w:cs="Tahoma"/>
                <w:sz w:val="20"/>
                <w:szCs w:val="20"/>
              </w:rPr>
              <w:t>jogutód</w:t>
            </w:r>
            <w:r w:rsidR="00976770" w:rsidRPr="00976770">
              <w:rPr>
                <w:rFonts w:ascii="Tahoma" w:eastAsia="Calibri" w:hAnsi="Tahoma" w:cs="Tahoma"/>
                <w:sz w:val="20"/>
                <w:szCs w:val="20"/>
              </w:rPr>
              <w:t xml:space="preserve"> VVI</w:t>
            </w:r>
            <w:r w:rsidRPr="00976770">
              <w:rPr>
                <w:rFonts w:ascii="Tahoma" w:eastAsia="Calibri" w:hAnsi="Tahoma" w:cs="Tahoma"/>
                <w:sz w:val="20"/>
                <w:szCs w:val="20"/>
              </w:rPr>
              <w:t xml:space="preserve"> Kft.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D57924" w14:textId="77777777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Veszprém 2364/42 hrsz. (Jutasi úti teniszpályák)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9515CB" w14:textId="77777777" w:rsidR="00E002F6" w:rsidRPr="00AB7469" w:rsidRDefault="00E002F6" w:rsidP="005F6D0E">
            <w:pPr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2024.03.01.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720409" w14:textId="77777777" w:rsidR="00E002F6" w:rsidRPr="00AB7469" w:rsidRDefault="00E002F6" w:rsidP="005F6D0E">
            <w:pPr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3 632 200</w:t>
            </w:r>
          </w:p>
        </w:tc>
      </w:tr>
      <w:tr w:rsidR="00E002F6" w:rsidRPr="005E23C0" w14:paraId="7480D87D" w14:textId="77777777" w:rsidTr="00AE4A74">
        <w:trPr>
          <w:trHeight w:val="3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81E5AF" w14:textId="77777777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Bérleti díj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550C38" w14:textId="77777777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Sindler Attila e.v.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C2892D" w14:textId="77777777" w:rsidR="00E002F6" w:rsidRPr="00AB7469" w:rsidRDefault="00E002F6" w:rsidP="005F6D0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Veszprém 027/3 és 0270/7 hrsz. (Veszprémvölgyi u. 63-65./ volt Kiskuti csárda) bérleti szerződés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154C1A" w14:textId="77777777" w:rsidR="00E002F6" w:rsidRPr="00AB7469" w:rsidRDefault="00E002F6" w:rsidP="005F6D0E">
            <w:pPr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2024.04.08.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156998" w14:textId="77777777" w:rsidR="00E002F6" w:rsidRPr="005E23C0" w:rsidRDefault="00E002F6" w:rsidP="005F6D0E">
            <w:pPr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 w:rsidRPr="00AB7469">
              <w:rPr>
                <w:rFonts w:ascii="Tahoma" w:eastAsia="Calibri" w:hAnsi="Tahoma" w:cs="Tahoma"/>
                <w:sz w:val="20"/>
                <w:szCs w:val="20"/>
              </w:rPr>
              <w:t>7 315 200</w:t>
            </w:r>
          </w:p>
        </w:tc>
      </w:tr>
    </w:tbl>
    <w:p w14:paraId="1C154FFC" w14:textId="77777777" w:rsidR="00E002F6" w:rsidRPr="005E23C0" w:rsidRDefault="00E002F6" w:rsidP="00E002F6">
      <w:pPr>
        <w:jc w:val="both"/>
        <w:rPr>
          <w:rFonts w:ascii="Tahoma" w:hAnsi="Tahoma" w:cs="Tahoma"/>
          <w:sz w:val="22"/>
          <w:szCs w:val="22"/>
        </w:rPr>
      </w:pPr>
    </w:p>
    <w:p w14:paraId="78AA3BC7" w14:textId="53D082AF" w:rsidR="00E002F6" w:rsidRPr="00AB7469" w:rsidRDefault="00E002F6" w:rsidP="00E002F6">
      <w:pPr>
        <w:jc w:val="both"/>
        <w:rPr>
          <w:rFonts w:ascii="Tahoma" w:hAnsi="Tahoma" w:cs="Tahoma"/>
          <w:sz w:val="22"/>
          <w:szCs w:val="22"/>
        </w:rPr>
      </w:pPr>
      <w:r w:rsidRPr="00AB7469">
        <w:rPr>
          <w:rFonts w:ascii="Tahoma" w:hAnsi="Tahoma" w:cs="Tahoma"/>
          <w:sz w:val="22"/>
          <w:szCs w:val="22"/>
          <w:u w:val="single"/>
        </w:rPr>
        <w:t>Ingatlanvagyon tulajdonjogának megszerzése</w:t>
      </w:r>
      <w:r w:rsidR="00863D0B" w:rsidRPr="00AB7469">
        <w:rPr>
          <w:rFonts w:ascii="Tahoma" w:hAnsi="Tahoma" w:cs="Tahoma"/>
          <w:sz w:val="22"/>
          <w:szCs w:val="22"/>
          <w:u w:val="single"/>
        </w:rPr>
        <w:t>/folyamatban lévő kisajátítások</w:t>
      </w:r>
      <w:r w:rsidRPr="00AB7469">
        <w:rPr>
          <w:rFonts w:ascii="Tahoma" w:hAnsi="Tahoma" w:cs="Tahoma"/>
          <w:sz w:val="22"/>
          <w:szCs w:val="22"/>
        </w:rPr>
        <w:t>:</w:t>
      </w:r>
    </w:p>
    <w:p w14:paraId="1F4DB104" w14:textId="77777777" w:rsidR="00A72DCA" w:rsidRPr="00AB7469" w:rsidRDefault="00A72DCA" w:rsidP="00E002F6">
      <w:pPr>
        <w:jc w:val="both"/>
        <w:rPr>
          <w:rFonts w:ascii="Tahoma" w:hAnsi="Tahoma" w:cs="Tahoma"/>
          <w:sz w:val="22"/>
          <w:szCs w:val="22"/>
        </w:rPr>
      </w:pPr>
    </w:p>
    <w:p w14:paraId="443B400D" w14:textId="77777777" w:rsidR="00DF6B40" w:rsidRPr="005E23C0" w:rsidRDefault="00DF6B40" w:rsidP="00DF6B40">
      <w:pPr>
        <w:jc w:val="both"/>
        <w:rPr>
          <w:rFonts w:ascii="Tahoma" w:eastAsia="Calibri" w:hAnsi="Tahoma" w:cs="Tahoma"/>
          <w:bCs/>
          <w:sz w:val="22"/>
          <w:szCs w:val="22"/>
          <w:lang w:eastAsia="zh-CN"/>
        </w:rPr>
      </w:pPr>
    </w:p>
    <w:p w14:paraId="30150E5C" w14:textId="77777777" w:rsidR="00DF6B40" w:rsidRDefault="00DF6B40" w:rsidP="00DF6B40">
      <w:pPr>
        <w:jc w:val="both"/>
        <w:rPr>
          <w:rFonts w:ascii="Tahoma" w:eastAsia="Calibri" w:hAnsi="Tahoma" w:cs="Tahoma"/>
          <w:sz w:val="22"/>
          <w:szCs w:val="22"/>
          <w:lang w:eastAsia="en-US"/>
        </w:rPr>
      </w:pPr>
      <w:r w:rsidRPr="005E23C0">
        <w:rPr>
          <w:rFonts w:ascii="Tahoma" w:eastAsia="Calibri" w:hAnsi="Tahoma" w:cs="Tahoma"/>
          <w:sz w:val="22"/>
          <w:szCs w:val="22"/>
          <w:lang w:eastAsia="en-US"/>
        </w:rPr>
        <w:t>A veszprémi vasútállomás felújítása beruházás előkészítése során felvetődött az a javaslat, hogy a vasútállomást megközelítő országos közutak rendeltetési jellege kerüljön megváltoztatásra, és mint helyi közutak kerüljenek Veszprém Megyei Jogú Város Önkormányzatának tulajdonába. Ezzel kapcsolatban döntés született a rendeltetési jelleg megváltoztatására, és ezt követően az önkormányzati tulajdonba vételre, mely a Veszprém 2550/1 hrsz.-ú ingatlan teljes területét, míg a Veszprém 2549/1 hrsz.-ú és 2159/1 hrsz.-ú ingatlan egy részét érintette.</w:t>
      </w:r>
    </w:p>
    <w:p w14:paraId="26ABA750" w14:textId="77777777" w:rsidR="00DF6B40" w:rsidRDefault="00DF6B40" w:rsidP="00DF6B40">
      <w:pPr>
        <w:jc w:val="both"/>
        <w:rPr>
          <w:rFonts w:ascii="Tahoma" w:eastAsia="Calibri" w:hAnsi="Tahoma" w:cs="Tahoma"/>
          <w:sz w:val="22"/>
          <w:szCs w:val="22"/>
          <w:lang w:eastAsia="en-US"/>
        </w:rPr>
      </w:pPr>
    </w:p>
    <w:p w14:paraId="442001BF" w14:textId="30CCA58F" w:rsidR="00E002F6" w:rsidRPr="005E23C0" w:rsidRDefault="00976770" w:rsidP="00E002F6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A </w:t>
      </w:r>
      <w:r w:rsidR="00E002F6" w:rsidRPr="005E23C0">
        <w:rPr>
          <w:rFonts w:ascii="Tahoma" w:hAnsi="Tahoma" w:cs="Tahoma"/>
          <w:bCs/>
          <w:sz w:val="22"/>
          <w:szCs w:val="22"/>
        </w:rPr>
        <w:t xml:space="preserve">NIPÜF Veszprém Ipari Park Kft., valamint Veszprém Megyei </w:t>
      </w:r>
      <w:bookmarkStart w:id="4" w:name="_Hlk164851087"/>
      <w:bookmarkStart w:id="5" w:name="_Hlk167953705"/>
      <w:r w:rsidR="00E002F6" w:rsidRPr="005E23C0">
        <w:rPr>
          <w:rFonts w:ascii="Tahoma" w:hAnsi="Tahoma" w:cs="Tahoma"/>
          <w:bCs/>
          <w:sz w:val="22"/>
          <w:szCs w:val="22"/>
        </w:rPr>
        <w:t>Jogú Város Önkormányzata 2024. 05. 29. napján telekalakítással vegyes adásvételi szerződést kötött 4.800.000 Ft nettó összeggel a Veszprém külterület 0232/46 helyrajzi számú, „kivett helyi közút” megnevezésű, 330 m² térmértékű ingatlan</w:t>
      </w:r>
      <w:bookmarkEnd w:id="4"/>
      <w:r w:rsidR="00E002F6" w:rsidRPr="005E23C0">
        <w:rPr>
          <w:rFonts w:ascii="Tahoma" w:hAnsi="Tahoma" w:cs="Tahoma"/>
          <w:bCs/>
          <w:sz w:val="22"/>
          <w:szCs w:val="22"/>
        </w:rPr>
        <w:t xml:space="preserve">t, valamint a </w:t>
      </w:r>
      <w:bookmarkStart w:id="6" w:name="_Hlk164851122"/>
      <w:r w:rsidR="00E002F6" w:rsidRPr="005E23C0">
        <w:rPr>
          <w:rFonts w:ascii="Tahoma" w:hAnsi="Tahoma" w:cs="Tahoma"/>
          <w:bCs/>
          <w:sz w:val="22"/>
          <w:szCs w:val="22"/>
        </w:rPr>
        <w:t>Veszprém 0232/53 helyrajzi számú ingatlanból kialakuló Veszprém külterület 0232/62 helyrajzi számú kivett közterület megnevezésű</w:t>
      </w:r>
      <w:bookmarkEnd w:id="5"/>
      <w:r w:rsidR="00E002F6" w:rsidRPr="005E23C0">
        <w:rPr>
          <w:rFonts w:ascii="Tahoma" w:hAnsi="Tahoma" w:cs="Tahoma"/>
          <w:bCs/>
          <w:sz w:val="22"/>
          <w:szCs w:val="22"/>
        </w:rPr>
        <w:t>, 538 m² térmértékű ingatlan</w:t>
      </w:r>
      <w:bookmarkEnd w:id="6"/>
      <w:r w:rsidR="00E002F6" w:rsidRPr="005E23C0">
        <w:rPr>
          <w:rFonts w:ascii="Tahoma" w:hAnsi="Tahoma" w:cs="Tahoma"/>
          <w:bCs/>
          <w:sz w:val="22"/>
          <w:szCs w:val="22"/>
        </w:rPr>
        <w:t>t érintően.</w:t>
      </w:r>
      <w:r w:rsidR="00E002F6" w:rsidRPr="005E23C0">
        <w:rPr>
          <w:rFonts w:ascii="Tahoma" w:eastAsia="Calibri" w:hAnsi="Tahoma" w:cs="Tahoma"/>
        </w:rPr>
        <w:t xml:space="preserve"> </w:t>
      </w:r>
      <w:r w:rsidR="00E002F6" w:rsidRPr="005E23C0">
        <w:rPr>
          <w:rFonts w:ascii="Tahoma" w:hAnsi="Tahoma" w:cs="Tahoma"/>
          <w:bCs/>
          <w:sz w:val="22"/>
          <w:szCs w:val="22"/>
        </w:rPr>
        <w:t xml:space="preserve">Az </w:t>
      </w:r>
      <w:r>
        <w:rPr>
          <w:rFonts w:ascii="Tahoma" w:hAnsi="Tahoma" w:cs="Tahoma"/>
          <w:bCs/>
          <w:sz w:val="22"/>
          <w:szCs w:val="22"/>
        </w:rPr>
        <w:t>i</w:t>
      </w:r>
      <w:r w:rsidR="00E002F6" w:rsidRPr="005E23C0">
        <w:rPr>
          <w:rFonts w:ascii="Tahoma" w:hAnsi="Tahoma" w:cs="Tahoma"/>
          <w:bCs/>
          <w:sz w:val="22"/>
          <w:szCs w:val="22"/>
        </w:rPr>
        <w:t xml:space="preserve">ngatlanok a 8. számú országos közút és a Szentkirályszabadja Repülőtér felé vezető bekötőút csatlakozásánál helyezkednek el, ahol egy darab hatástalanított és felújított Mi-24-es harci helikopter posztamensen történő elhelyezése valósult meg. </w:t>
      </w:r>
    </w:p>
    <w:p w14:paraId="1AEFDDA5" w14:textId="77777777" w:rsidR="00E002F6" w:rsidRPr="005E23C0" w:rsidRDefault="00E002F6" w:rsidP="00E002F6">
      <w:pPr>
        <w:jc w:val="both"/>
        <w:rPr>
          <w:rFonts w:ascii="Tahoma" w:hAnsi="Tahoma" w:cs="Tahoma"/>
          <w:bCs/>
          <w:sz w:val="22"/>
          <w:szCs w:val="22"/>
        </w:rPr>
      </w:pPr>
    </w:p>
    <w:p w14:paraId="7F16D3EF" w14:textId="77777777" w:rsidR="00E002F6" w:rsidRPr="005E23C0" w:rsidRDefault="00E002F6" w:rsidP="00E002F6">
      <w:pPr>
        <w:jc w:val="both"/>
        <w:rPr>
          <w:rFonts w:ascii="Tahoma" w:hAnsi="Tahoma" w:cs="Tahoma"/>
          <w:bCs/>
          <w:sz w:val="22"/>
          <w:szCs w:val="22"/>
        </w:rPr>
      </w:pPr>
      <w:r w:rsidRPr="005E23C0">
        <w:rPr>
          <w:rFonts w:ascii="Tahoma" w:hAnsi="Tahoma" w:cs="Tahoma"/>
          <w:bCs/>
          <w:sz w:val="22"/>
          <w:szCs w:val="22"/>
        </w:rPr>
        <w:t xml:space="preserve">Veszprém Megyei Jogú Város Önkormányzata 2024. 02. 29. napján döntött a Veszprém 8713/2 hrsz.-ú – természetben a Veszprém Sportuszoda és az Aréna között található – ingatlanból </w:t>
      </w:r>
      <w:r w:rsidRPr="005E23C0">
        <w:rPr>
          <w:rFonts w:ascii="Tahoma" w:hAnsi="Tahoma" w:cs="Tahoma"/>
          <w:bCs/>
          <w:sz w:val="22"/>
          <w:szCs w:val="22"/>
        </w:rPr>
        <w:lastRenderedPageBreak/>
        <w:t>kialakuló Veszprém 8713/6 és 8713/7 helyrajzi számú ingatlanok adásvétel útján történő megszerzéséről</w:t>
      </w:r>
      <w:r w:rsidRPr="005E23C0">
        <w:rPr>
          <w:rFonts w:ascii="Tahoma" w:hAnsi="Tahoma" w:cs="Tahoma"/>
        </w:rPr>
        <w:t xml:space="preserve">, </w:t>
      </w:r>
      <w:r w:rsidRPr="005E23C0">
        <w:rPr>
          <w:rFonts w:ascii="Tahoma" w:hAnsi="Tahoma" w:cs="Tahoma"/>
          <w:bCs/>
          <w:sz w:val="22"/>
          <w:szCs w:val="22"/>
        </w:rPr>
        <w:t>valamint a vételár – 320 millió forint – biztosításához előzetes pénzügyi kötelezettségvállalás jóváhagyásáról.</w:t>
      </w:r>
    </w:p>
    <w:p w14:paraId="4C8ABECE" w14:textId="47323812" w:rsidR="00E002F6" w:rsidRPr="005E23C0" w:rsidRDefault="00962A26" w:rsidP="00891EB2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Az útépítés kapcsán a</w:t>
      </w:r>
      <w:r w:rsidR="00E002F6" w:rsidRPr="005E23C0">
        <w:rPr>
          <w:rFonts w:ascii="Tahoma" w:hAnsi="Tahoma" w:cs="Tahoma"/>
          <w:sz w:val="22"/>
          <w:szCs w:val="22"/>
          <w:lang w:eastAsia="x-none"/>
        </w:rPr>
        <w:t xml:space="preserve"> „</w:t>
      </w:r>
      <w:r w:rsidR="00E002F6" w:rsidRPr="005E23C0">
        <w:rPr>
          <w:rFonts w:ascii="Tahoma" w:hAnsi="Tahoma" w:cs="Tahoma"/>
          <w:bCs/>
          <w:sz w:val="22"/>
          <w:szCs w:val="22"/>
        </w:rPr>
        <w:t xml:space="preserve">Keleti sportfejlesztési helyszínnek” nevezett területre vonatkozó szabályozási tervlapon szereplő új kapcsolatnak, belső összekötő útnak a megépítése </w:t>
      </w:r>
      <w:r>
        <w:rPr>
          <w:rFonts w:ascii="Tahoma" w:hAnsi="Tahoma" w:cs="Tahoma"/>
          <w:bCs/>
          <w:sz w:val="22"/>
          <w:szCs w:val="22"/>
        </w:rPr>
        <w:t xml:space="preserve">miatt </w:t>
      </w:r>
      <w:r w:rsidR="00E002F6" w:rsidRPr="005E23C0">
        <w:rPr>
          <w:rFonts w:ascii="Tahoma" w:hAnsi="Tahoma" w:cs="Tahoma"/>
          <w:bCs/>
          <w:sz w:val="22"/>
          <w:szCs w:val="22"/>
        </w:rPr>
        <w:t>aktuális</w:t>
      </w:r>
      <w:r>
        <w:rPr>
          <w:rFonts w:ascii="Tahoma" w:hAnsi="Tahoma" w:cs="Tahoma"/>
          <w:bCs/>
          <w:sz w:val="22"/>
          <w:szCs w:val="22"/>
        </w:rPr>
        <w:t xml:space="preserve"> lesz vízgazdálkodási (V-05) célra a rendezési tervben már kiszabályozott területrész megszerzése is</w:t>
      </w:r>
      <w:r w:rsidR="00E002F6" w:rsidRPr="005E23C0">
        <w:rPr>
          <w:rFonts w:ascii="Tahoma" w:hAnsi="Tahoma" w:cs="Tahoma"/>
          <w:bCs/>
          <w:sz w:val="22"/>
          <w:szCs w:val="22"/>
        </w:rPr>
        <w:t xml:space="preserve">. </w:t>
      </w:r>
      <w:r w:rsidR="00891EB2">
        <w:rPr>
          <w:rFonts w:ascii="Tahoma" w:hAnsi="Tahoma" w:cs="Tahoma"/>
          <w:bCs/>
          <w:sz w:val="22"/>
          <w:szCs w:val="22"/>
        </w:rPr>
        <w:t>A</w:t>
      </w:r>
      <w:r w:rsidR="00E002F6" w:rsidRPr="005E23C0">
        <w:rPr>
          <w:rFonts w:ascii="Tahoma" w:hAnsi="Tahoma" w:cs="Tahoma"/>
          <w:bCs/>
          <w:sz w:val="22"/>
          <w:szCs w:val="22"/>
        </w:rPr>
        <w:t xml:space="preserve"> 2021-2027 közötti Európai Uniós fejlesztési </w:t>
      </w:r>
      <w:r w:rsidR="00891EB2">
        <w:rPr>
          <w:rFonts w:ascii="Tahoma" w:hAnsi="Tahoma" w:cs="Tahoma"/>
          <w:bCs/>
          <w:sz w:val="22"/>
          <w:szCs w:val="22"/>
        </w:rPr>
        <w:t>projektek</w:t>
      </w:r>
      <w:r w:rsidR="00E002F6" w:rsidRPr="005E23C0">
        <w:rPr>
          <w:rFonts w:ascii="Tahoma" w:hAnsi="Tahoma" w:cs="Tahoma"/>
          <w:bCs/>
          <w:sz w:val="22"/>
          <w:szCs w:val="22"/>
        </w:rPr>
        <w:t xml:space="preserve"> </w:t>
      </w:r>
      <w:r w:rsidR="00891EB2">
        <w:rPr>
          <w:rFonts w:ascii="Tahoma" w:hAnsi="Tahoma" w:cs="Tahoma"/>
          <w:bCs/>
          <w:sz w:val="22"/>
          <w:szCs w:val="22"/>
        </w:rPr>
        <w:t xml:space="preserve">megvalósításához kapcsolódóan tulajdonjog-rendezési feladatok várhatóak </w:t>
      </w:r>
      <w:r w:rsidR="00891EB2" w:rsidRPr="00891EB2">
        <w:rPr>
          <w:rFonts w:ascii="Tahoma" w:hAnsi="Tahoma" w:cs="Tahoma"/>
          <w:bCs/>
          <w:sz w:val="22"/>
          <w:szCs w:val="22"/>
        </w:rPr>
        <w:t>TOP_PLUSZ-1.3.2-23-VP1-2025-00002</w:t>
      </w:r>
      <w:r w:rsidR="00891EB2">
        <w:rPr>
          <w:rFonts w:ascii="Tahoma" w:hAnsi="Tahoma" w:cs="Tahoma"/>
          <w:bCs/>
          <w:sz w:val="22"/>
          <w:szCs w:val="22"/>
        </w:rPr>
        <w:t xml:space="preserve"> </w:t>
      </w:r>
      <w:r w:rsidR="00891EB2" w:rsidRPr="00891EB2">
        <w:rPr>
          <w:rFonts w:ascii="Tahoma" w:hAnsi="Tahoma" w:cs="Tahoma"/>
          <w:bCs/>
          <w:sz w:val="22"/>
          <w:szCs w:val="22"/>
        </w:rPr>
        <w:t>Veszprém Aréna-Veszprém Sportuszoda közötti út építése</w:t>
      </w:r>
      <w:r w:rsidR="00891EB2">
        <w:rPr>
          <w:rFonts w:ascii="Tahoma" w:hAnsi="Tahoma" w:cs="Tahoma"/>
          <w:bCs/>
          <w:sz w:val="22"/>
          <w:szCs w:val="22"/>
        </w:rPr>
        <w:t xml:space="preserve">, a </w:t>
      </w:r>
      <w:r w:rsidR="00891EB2" w:rsidRPr="00891EB2">
        <w:rPr>
          <w:rFonts w:ascii="Tahoma" w:hAnsi="Tahoma" w:cs="Tahoma"/>
          <w:bCs/>
          <w:sz w:val="22"/>
          <w:szCs w:val="22"/>
        </w:rPr>
        <w:t>TOP_PLUSZ-1.3.2-23-VP1-2025-00004</w:t>
      </w:r>
      <w:r w:rsidR="00891EB2">
        <w:rPr>
          <w:rFonts w:ascii="Tahoma" w:hAnsi="Tahoma" w:cs="Tahoma"/>
          <w:bCs/>
          <w:sz w:val="22"/>
          <w:szCs w:val="22"/>
        </w:rPr>
        <w:t xml:space="preserve"> </w:t>
      </w:r>
      <w:r w:rsidR="00891EB2" w:rsidRPr="00891EB2">
        <w:rPr>
          <w:rFonts w:ascii="Tahoma" w:hAnsi="Tahoma" w:cs="Tahoma"/>
          <w:bCs/>
          <w:sz w:val="22"/>
          <w:szCs w:val="22"/>
        </w:rPr>
        <w:t>Kék infrastruktúra megújítása: korszerű csapadékvíz-gazdálkodás, az elvezetés javítása</w:t>
      </w:r>
      <w:r w:rsidR="00891EB2">
        <w:rPr>
          <w:rFonts w:ascii="Tahoma" w:hAnsi="Tahoma" w:cs="Tahoma"/>
          <w:bCs/>
          <w:sz w:val="22"/>
          <w:szCs w:val="22"/>
        </w:rPr>
        <w:t xml:space="preserve">, valamint a </w:t>
      </w:r>
      <w:r w:rsidR="00891EB2" w:rsidRPr="00891EB2">
        <w:rPr>
          <w:rFonts w:ascii="Tahoma" w:hAnsi="Tahoma" w:cs="Tahoma"/>
          <w:bCs/>
          <w:sz w:val="22"/>
          <w:szCs w:val="22"/>
        </w:rPr>
        <w:t>TOP_PLUSZ-1.3.2-23-VP1-2025-00001</w:t>
      </w:r>
      <w:r w:rsidR="00891EB2">
        <w:rPr>
          <w:rFonts w:ascii="Tahoma" w:hAnsi="Tahoma" w:cs="Tahoma"/>
          <w:bCs/>
          <w:sz w:val="22"/>
          <w:szCs w:val="22"/>
        </w:rPr>
        <w:t xml:space="preserve"> </w:t>
      </w:r>
      <w:r w:rsidR="00891EB2" w:rsidRPr="00891EB2">
        <w:rPr>
          <w:rFonts w:ascii="Tahoma" w:hAnsi="Tahoma" w:cs="Tahoma"/>
          <w:bCs/>
          <w:sz w:val="22"/>
          <w:szCs w:val="22"/>
        </w:rPr>
        <w:t>Belterületi útfejlesztés</w:t>
      </w:r>
      <w:r w:rsidR="00891EB2">
        <w:rPr>
          <w:rFonts w:ascii="Tahoma" w:hAnsi="Tahoma" w:cs="Tahoma"/>
          <w:bCs/>
          <w:sz w:val="22"/>
          <w:szCs w:val="22"/>
        </w:rPr>
        <w:t xml:space="preserve"> projektek kapcsán, amely beruházásokra megkötött támogatási szerződésekkel rendelkezünk</w:t>
      </w:r>
      <w:r w:rsidR="008B0234">
        <w:rPr>
          <w:rFonts w:ascii="Tahoma" w:hAnsi="Tahoma" w:cs="Tahoma"/>
          <w:bCs/>
          <w:sz w:val="22"/>
          <w:szCs w:val="22"/>
        </w:rPr>
        <w:t>.</w:t>
      </w:r>
    </w:p>
    <w:p w14:paraId="01C6D396" w14:textId="77777777" w:rsidR="00E002F6" w:rsidRPr="005E23C0" w:rsidRDefault="00E002F6" w:rsidP="00E002F6">
      <w:pPr>
        <w:jc w:val="both"/>
        <w:rPr>
          <w:rFonts w:ascii="Tahoma" w:hAnsi="Tahoma" w:cs="Tahoma"/>
          <w:bCs/>
          <w:sz w:val="22"/>
          <w:szCs w:val="22"/>
        </w:rPr>
      </w:pPr>
    </w:p>
    <w:p w14:paraId="43AFC070" w14:textId="7D14F666" w:rsidR="00E002F6" w:rsidRPr="005E23C0" w:rsidRDefault="00393FC5" w:rsidP="00E002F6">
      <w:pPr>
        <w:suppressAutoHyphens/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/>
          <w:sz w:val="22"/>
          <w:szCs w:val="22"/>
        </w:rPr>
        <w:t xml:space="preserve">A </w:t>
      </w:r>
      <w:r w:rsidR="00E002F6" w:rsidRPr="005E23C0">
        <w:rPr>
          <w:rFonts w:ascii="Tahoma" w:hAnsi="Tahoma"/>
          <w:sz w:val="22"/>
          <w:szCs w:val="22"/>
        </w:rPr>
        <w:t xml:space="preserve">PanEuropean Ingatlanhasznosító Kft. a </w:t>
      </w:r>
      <w:r w:rsidR="00E002F6" w:rsidRPr="005E23C0">
        <w:rPr>
          <w:rFonts w:ascii="Tahoma" w:hAnsi="Tahoma" w:cs="Tahoma"/>
          <w:sz w:val="22"/>
          <w:szCs w:val="22"/>
        </w:rPr>
        <w:t>Veszprém 4781/103 hrsz.-ú és 4781/56 hrsz.-ú ingatlanokon barkácsáruház létesítésére irányuló fejlesztést kíván megvalósítani. A fejlesztéssel érintett ingatlanok közúti megközelítése csak részben biztosított</w:t>
      </w:r>
      <w:r w:rsidR="00E002F6" w:rsidRPr="005E23C0">
        <w:rPr>
          <w:rFonts w:ascii="Tahoma" w:hAnsi="Tahoma" w:cs="Tahoma"/>
        </w:rPr>
        <w:t xml:space="preserve">. </w:t>
      </w:r>
      <w:r w:rsidR="00E002F6" w:rsidRPr="005E23C0">
        <w:rPr>
          <w:rFonts w:ascii="Tahoma" w:hAnsi="Tahoma" w:cs="Tahoma"/>
          <w:sz w:val="22"/>
          <w:szCs w:val="22"/>
        </w:rPr>
        <w:t xml:space="preserve">A kialakítandó helyi közút érinti az Önkormányzat tulajdonában lévő Veszprém 4781/57 hrsz.-ú és a nem önkormányzati tulajdonú, harmadik személyek tulajdonában lévő Veszprém 0426/2 hrsz.-ú, 0427/1 hrsz.-ú, 0429 hrsz.-ú, </w:t>
      </w:r>
      <w:r w:rsidR="00E002F6" w:rsidRPr="005E23C0">
        <w:rPr>
          <w:rFonts w:ascii="Tahoma" w:hAnsi="Tahoma"/>
          <w:sz w:val="22"/>
          <w:szCs w:val="22"/>
        </w:rPr>
        <w:t>0430 hrsz.-ú és 0431 hrsz.-ú</w:t>
      </w:r>
      <w:r w:rsidR="00E002F6" w:rsidRPr="005E23C0">
        <w:rPr>
          <w:rFonts w:ascii="Tahoma" w:hAnsi="Tahoma" w:cs="Tahoma"/>
          <w:sz w:val="22"/>
          <w:szCs w:val="22"/>
        </w:rPr>
        <w:t xml:space="preserve"> ingatlanok területét, így a magánszemélyek tulajdonában lévő ingatlanrészek megvétele vált szükségessé, </w:t>
      </w:r>
      <w:r w:rsidR="00E002F6" w:rsidRPr="005E23C0">
        <w:rPr>
          <w:rFonts w:ascii="Tahoma" w:hAnsi="Tahoma" w:cs="Tahoma"/>
          <w:bCs/>
          <w:sz w:val="22"/>
          <w:szCs w:val="22"/>
        </w:rPr>
        <w:t>melyre 43,160 millió Ft kifizetése történt meg a 2024. évben.</w:t>
      </w:r>
    </w:p>
    <w:p w14:paraId="5E42200E" w14:textId="77777777" w:rsidR="00DF6B40" w:rsidRPr="005E23C0" w:rsidRDefault="00DF6B40" w:rsidP="00E002F6">
      <w:pPr>
        <w:jc w:val="both"/>
        <w:rPr>
          <w:rFonts w:ascii="Tahoma" w:eastAsia="Calibri" w:hAnsi="Tahoma" w:cs="Tahoma"/>
          <w:sz w:val="22"/>
          <w:szCs w:val="22"/>
          <w:lang w:eastAsia="en-US"/>
        </w:rPr>
      </w:pPr>
    </w:p>
    <w:p w14:paraId="15F7C528" w14:textId="7E9EB46D" w:rsidR="00DF6B40" w:rsidRPr="005E23C0" w:rsidRDefault="00DF6B40" w:rsidP="00DF6B40">
      <w:pPr>
        <w:jc w:val="both"/>
        <w:rPr>
          <w:rFonts w:ascii="Tahoma" w:hAnsi="Tahoma" w:cs="Tahoma"/>
          <w:bCs/>
          <w:sz w:val="22"/>
          <w:szCs w:val="22"/>
        </w:rPr>
      </w:pPr>
      <w:r w:rsidRPr="00AB7469">
        <w:rPr>
          <w:rFonts w:ascii="Tahoma" w:hAnsi="Tahoma" w:cs="Tahoma"/>
          <w:bCs/>
          <w:sz w:val="22"/>
          <w:szCs w:val="22"/>
        </w:rPr>
        <w:t xml:space="preserve">A Tulajdonosi Bizottság részéről júniusban döntés született arról, hogy a Magyarország helyi önkormányzatairól szóló 2011. évi CLXXXIX. törvény 13. § (1) bekezdés 2. pontja szerinti köztemetők kialakítása és fenntartása helyi önkormányzati feladat megvalósítása érdekében a </w:t>
      </w:r>
      <w:r w:rsidR="00393FC5">
        <w:rPr>
          <w:rFonts w:ascii="Tahoma" w:hAnsi="Tahoma" w:cs="Tahoma"/>
          <w:bCs/>
          <w:sz w:val="22"/>
          <w:szCs w:val="22"/>
        </w:rPr>
        <w:t>V</w:t>
      </w:r>
      <w:r w:rsidRPr="00AB7469">
        <w:rPr>
          <w:rFonts w:ascii="Tahoma" w:hAnsi="Tahoma" w:cs="Tahoma"/>
          <w:bCs/>
          <w:sz w:val="22"/>
          <w:szCs w:val="22"/>
        </w:rPr>
        <w:t xml:space="preserve">eszprém 6141/9 hrsz.-ú szántó művelési ágú ingatlanból a Vámosi </w:t>
      </w:r>
      <w:r w:rsidR="00393FC5">
        <w:rPr>
          <w:rFonts w:ascii="Tahoma" w:hAnsi="Tahoma" w:cs="Tahoma"/>
          <w:bCs/>
          <w:sz w:val="22"/>
          <w:szCs w:val="22"/>
        </w:rPr>
        <w:t>ú</w:t>
      </w:r>
      <w:r w:rsidRPr="00AB7469">
        <w:rPr>
          <w:rFonts w:ascii="Tahoma" w:hAnsi="Tahoma" w:cs="Tahoma"/>
          <w:bCs/>
          <w:sz w:val="22"/>
          <w:szCs w:val="22"/>
        </w:rPr>
        <w:t xml:space="preserve">ti </w:t>
      </w:r>
      <w:r w:rsidR="00393FC5">
        <w:rPr>
          <w:rFonts w:ascii="Tahoma" w:hAnsi="Tahoma" w:cs="Tahoma"/>
          <w:bCs/>
          <w:sz w:val="22"/>
          <w:szCs w:val="22"/>
        </w:rPr>
        <w:t>t</w:t>
      </w:r>
      <w:r w:rsidRPr="00AB7469">
        <w:rPr>
          <w:rFonts w:ascii="Tahoma" w:hAnsi="Tahoma" w:cs="Tahoma"/>
          <w:bCs/>
          <w:sz w:val="22"/>
          <w:szCs w:val="22"/>
        </w:rPr>
        <w:t xml:space="preserve">emető céljaira 23.091 </w:t>
      </w:r>
      <w:r>
        <w:rPr>
          <w:rFonts w:ascii="Tahoma" w:hAnsi="Tahoma" w:cs="Tahoma"/>
          <w:bCs/>
          <w:sz w:val="22"/>
          <w:szCs w:val="22"/>
        </w:rPr>
        <w:t>m</w:t>
      </w:r>
      <w:r w:rsidR="00393FC5">
        <w:rPr>
          <w:rFonts w:ascii="Tahoma" w:hAnsi="Tahoma" w:cs="Tahoma"/>
          <w:bCs/>
          <w:sz w:val="22"/>
          <w:szCs w:val="22"/>
        </w:rPr>
        <w:t>²</w:t>
      </w:r>
      <w:r w:rsidRPr="00AB7469">
        <w:rPr>
          <w:rFonts w:ascii="Tahoma" w:hAnsi="Tahoma" w:cs="Tahoma"/>
          <w:bCs/>
          <w:sz w:val="22"/>
          <w:szCs w:val="22"/>
        </w:rPr>
        <w:t xml:space="preserve">-es nagyságú rész kerüljön kisajátításra. A kisajátítási eljárás lefolytatására 2026-ben kerülhet sor, mert időközben a 8-as </w:t>
      </w:r>
      <w:r>
        <w:rPr>
          <w:rFonts w:ascii="Tahoma" w:hAnsi="Tahoma" w:cs="Tahoma"/>
          <w:bCs/>
          <w:sz w:val="22"/>
          <w:szCs w:val="22"/>
        </w:rPr>
        <w:t xml:space="preserve">számú </w:t>
      </w:r>
      <w:r w:rsidRPr="00AB7469">
        <w:rPr>
          <w:rFonts w:ascii="Tahoma" w:hAnsi="Tahoma" w:cs="Tahoma"/>
          <w:bCs/>
          <w:sz w:val="22"/>
          <w:szCs w:val="22"/>
        </w:rPr>
        <w:t>főút felújítás</w:t>
      </w:r>
      <w:r>
        <w:rPr>
          <w:rFonts w:ascii="Tahoma" w:hAnsi="Tahoma" w:cs="Tahoma"/>
          <w:bCs/>
          <w:sz w:val="22"/>
          <w:szCs w:val="22"/>
        </w:rPr>
        <w:t>i</w:t>
      </w:r>
      <w:r w:rsidRPr="00AB7469">
        <w:rPr>
          <w:rFonts w:ascii="Tahoma" w:hAnsi="Tahoma" w:cs="Tahoma"/>
          <w:bCs/>
          <w:sz w:val="22"/>
          <w:szCs w:val="22"/>
        </w:rPr>
        <w:t xml:space="preserve"> munkálatai érdekében az Építési és Közlekedési Minisztérium szintén kisajátítást kezdeményezett ugyane</w:t>
      </w:r>
      <w:r>
        <w:rPr>
          <w:rFonts w:ascii="Tahoma" w:hAnsi="Tahoma" w:cs="Tahoma"/>
          <w:bCs/>
          <w:sz w:val="22"/>
          <w:szCs w:val="22"/>
        </w:rPr>
        <w:t>zen terület rovására, ami elsőbbséget élvez az eljárás megindításának korábbi időpontja miatt</w:t>
      </w:r>
      <w:r w:rsidR="00393FC5">
        <w:rPr>
          <w:rFonts w:ascii="Tahoma" w:hAnsi="Tahoma" w:cs="Tahoma"/>
          <w:bCs/>
          <w:sz w:val="22"/>
          <w:szCs w:val="22"/>
        </w:rPr>
        <w:t>.</w:t>
      </w:r>
    </w:p>
    <w:p w14:paraId="5D5350F1" w14:textId="77777777" w:rsidR="00DF6B40" w:rsidRPr="00DF6B40" w:rsidRDefault="00DF6B40" w:rsidP="00DF6B40">
      <w:pPr>
        <w:jc w:val="both"/>
        <w:rPr>
          <w:rFonts w:ascii="Tahoma" w:hAnsi="Tahoma" w:cs="Tahoma"/>
          <w:bCs/>
          <w:sz w:val="22"/>
          <w:szCs w:val="22"/>
        </w:rPr>
      </w:pPr>
    </w:p>
    <w:p w14:paraId="60551D58" w14:textId="70D5ED96" w:rsidR="00DF6B40" w:rsidRPr="00DF6B40" w:rsidRDefault="00DF6B40" w:rsidP="00DF6B40">
      <w:pPr>
        <w:jc w:val="both"/>
        <w:rPr>
          <w:rFonts w:ascii="Tahoma" w:hAnsi="Tahoma" w:cs="Tahoma"/>
          <w:bCs/>
          <w:sz w:val="22"/>
          <w:szCs w:val="22"/>
        </w:rPr>
      </w:pPr>
      <w:r w:rsidRPr="00DF6B40">
        <w:rPr>
          <w:rFonts w:ascii="Tahoma" w:hAnsi="Tahoma" w:cs="Tahoma"/>
          <w:bCs/>
          <w:sz w:val="22"/>
          <w:szCs w:val="22"/>
        </w:rPr>
        <w:t>2026-ban szintén kisajátítási eljárások várhatóak a Veszprém külterület 6350/1, 6350/2 és belterület 6351/1 helyrajzi számú ingatlanok tekintetében az állatkerti parkolók területi kibővíté</w:t>
      </w:r>
      <w:r w:rsidR="00393FC5">
        <w:rPr>
          <w:rFonts w:ascii="Tahoma" w:hAnsi="Tahoma" w:cs="Tahoma"/>
          <w:bCs/>
          <w:sz w:val="22"/>
          <w:szCs w:val="22"/>
        </w:rPr>
        <w:t>se</w:t>
      </w:r>
      <w:r w:rsidRPr="00DF6B40">
        <w:rPr>
          <w:rFonts w:ascii="Tahoma" w:hAnsi="Tahoma" w:cs="Tahoma"/>
          <w:bCs/>
          <w:sz w:val="22"/>
          <w:szCs w:val="22"/>
        </w:rPr>
        <w:t xml:space="preserve"> céljából. Szintén kisajátítás tervezett a Veszprém külterület 043/232,</w:t>
      </w:r>
      <w:r w:rsidR="00393FC5">
        <w:rPr>
          <w:rFonts w:ascii="Tahoma" w:hAnsi="Tahoma" w:cs="Tahoma"/>
          <w:bCs/>
          <w:sz w:val="22"/>
          <w:szCs w:val="22"/>
        </w:rPr>
        <w:t xml:space="preserve"> </w:t>
      </w:r>
      <w:r w:rsidRPr="00DF6B40">
        <w:rPr>
          <w:rFonts w:ascii="Tahoma" w:hAnsi="Tahoma" w:cs="Tahoma"/>
          <w:bCs/>
          <w:sz w:val="22"/>
          <w:szCs w:val="22"/>
        </w:rPr>
        <w:t>233,</w:t>
      </w:r>
      <w:r w:rsidR="00393FC5">
        <w:rPr>
          <w:rFonts w:ascii="Tahoma" w:hAnsi="Tahoma" w:cs="Tahoma"/>
          <w:bCs/>
          <w:sz w:val="22"/>
          <w:szCs w:val="22"/>
        </w:rPr>
        <w:t xml:space="preserve"> </w:t>
      </w:r>
      <w:r w:rsidRPr="00DF6B40">
        <w:rPr>
          <w:rFonts w:ascii="Tahoma" w:hAnsi="Tahoma" w:cs="Tahoma"/>
          <w:bCs/>
          <w:sz w:val="22"/>
          <w:szCs w:val="22"/>
        </w:rPr>
        <w:t>234,</w:t>
      </w:r>
      <w:r w:rsidR="00393FC5">
        <w:rPr>
          <w:rFonts w:ascii="Tahoma" w:hAnsi="Tahoma" w:cs="Tahoma"/>
          <w:bCs/>
          <w:sz w:val="22"/>
          <w:szCs w:val="22"/>
        </w:rPr>
        <w:t xml:space="preserve"> </w:t>
      </w:r>
      <w:r w:rsidRPr="00DF6B40">
        <w:rPr>
          <w:rFonts w:ascii="Tahoma" w:hAnsi="Tahoma" w:cs="Tahoma"/>
          <w:bCs/>
          <w:sz w:val="22"/>
          <w:szCs w:val="22"/>
        </w:rPr>
        <w:t>235,</w:t>
      </w:r>
      <w:r w:rsidR="00393FC5">
        <w:rPr>
          <w:rFonts w:ascii="Tahoma" w:hAnsi="Tahoma" w:cs="Tahoma"/>
          <w:bCs/>
          <w:sz w:val="22"/>
          <w:szCs w:val="22"/>
        </w:rPr>
        <w:t xml:space="preserve"> </w:t>
      </w:r>
      <w:r w:rsidRPr="00DF6B40">
        <w:rPr>
          <w:rFonts w:ascii="Tahoma" w:hAnsi="Tahoma" w:cs="Tahoma"/>
          <w:bCs/>
          <w:sz w:val="22"/>
          <w:szCs w:val="22"/>
        </w:rPr>
        <w:t>237 helyrajzi számú ingatlanok (Takácskert II. útépítéshez kisajátítás), valamint a Veszprém belterület 9578/4 helyrajzi számú ingatlan</w:t>
      </w:r>
      <w:r w:rsidR="00393FC5">
        <w:rPr>
          <w:rFonts w:ascii="Tahoma" w:hAnsi="Tahoma" w:cs="Tahoma"/>
          <w:bCs/>
          <w:sz w:val="22"/>
          <w:szCs w:val="22"/>
        </w:rPr>
        <w:t xml:space="preserve"> </w:t>
      </w:r>
      <w:r w:rsidRPr="00DF6B40">
        <w:rPr>
          <w:rFonts w:ascii="Tahoma" w:hAnsi="Tahoma" w:cs="Tahoma"/>
          <w:bCs/>
          <w:sz w:val="22"/>
          <w:szCs w:val="22"/>
        </w:rPr>
        <w:t xml:space="preserve">(Gyulafirátót, Magyali utca, útépítés) vonatkozásában. </w:t>
      </w:r>
    </w:p>
    <w:p w14:paraId="4BD4215B" w14:textId="77777777" w:rsidR="00E002F6" w:rsidRPr="005E23C0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</w:p>
    <w:p w14:paraId="78DB8150" w14:textId="77777777" w:rsidR="002E6377" w:rsidRDefault="002E6377" w:rsidP="00E002F6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</w:p>
    <w:p w14:paraId="2410787A" w14:textId="28F923B4" w:rsidR="00E002F6" w:rsidRPr="005E23C0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5E23C0">
        <w:rPr>
          <w:rFonts w:ascii="Tahoma" w:hAnsi="Tahoma" w:cs="Tahoma"/>
          <w:b/>
          <w:bCs/>
        </w:rPr>
        <w:t>2. A portfólió vagyonnal való gazdálkodás</w:t>
      </w:r>
      <w:r w:rsidRPr="005E23C0">
        <w:rPr>
          <w:rFonts w:ascii="Tahoma" w:hAnsi="Tahoma" w:cs="Tahoma"/>
          <w:bCs/>
        </w:rPr>
        <w:t xml:space="preserve"> </w:t>
      </w:r>
      <w:r w:rsidRPr="005E23C0">
        <w:rPr>
          <w:rFonts w:ascii="Tahoma" w:hAnsi="Tahoma" w:cs="Tahoma"/>
          <w:b/>
          <w:bCs/>
        </w:rPr>
        <w:t>helyzete</w:t>
      </w:r>
    </w:p>
    <w:p w14:paraId="26EAA0B0" w14:textId="77777777" w:rsidR="00E002F6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</w:p>
    <w:p w14:paraId="0180102C" w14:textId="77777777" w:rsidR="002E6377" w:rsidRPr="005E23C0" w:rsidRDefault="002E6377" w:rsidP="00E002F6">
      <w:pPr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</w:p>
    <w:p w14:paraId="74A36175" w14:textId="07480339" w:rsidR="00E002F6" w:rsidRPr="005E23C0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bCs/>
          <w:sz w:val="22"/>
          <w:szCs w:val="22"/>
          <w:u w:val="single"/>
        </w:rPr>
      </w:pPr>
      <w:r w:rsidRPr="005E23C0">
        <w:rPr>
          <w:rFonts w:ascii="Tahoma" w:hAnsi="Tahoma" w:cs="Tahoma"/>
          <w:bCs/>
          <w:sz w:val="22"/>
          <w:szCs w:val="22"/>
          <w:u w:val="single"/>
        </w:rPr>
        <w:t>A portfólió vagyon változásai a 202</w:t>
      </w:r>
      <w:r w:rsidR="00433353" w:rsidRPr="005E23C0">
        <w:rPr>
          <w:rFonts w:ascii="Tahoma" w:hAnsi="Tahoma" w:cs="Tahoma"/>
          <w:bCs/>
          <w:sz w:val="22"/>
          <w:szCs w:val="22"/>
          <w:u w:val="single"/>
        </w:rPr>
        <w:t>5</w:t>
      </w:r>
      <w:r w:rsidRPr="005E23C0">
        <w:rPr>
          <w:rFonts w:ascii="Tahoma" w:hAnsi="Tahoma" w:cs="Tahoma"/>
          <w:bCs/>
          <w:sz w:val="22"/>
          <w:szCs w:val="22"/>
          <w:u w:val="single"/>
        </w:rPr>
        <w:t>. évben:</w:t>
      </w:r>
    </w:p>
    <w:p w14:paraId="3ADEBFB6" w14:textId="77777777" w:rsidR="00E002F6" w:rsidRPr="005E23C0" w:rsidRDefault="00E002F6" w:rsidP="00E002F6">
      <w:pPr>
        <w:autoSpaceDE w:val="0"/>
        <w:autoSpaceDN w:val="0"/>
        <w:adjustRightInd w:val="0"/>
        <w:jc w:val="both"/>
        <w:rPr>
          <w:rFonts w:ascii="Tahoma" w:hAnsi="Tahoma" w:cs="Tahoma"/>
          <w:bCs/>
          <w:sz w:val="22"/>
          <w:szCs w:val="22"/>
          <w:u w:val="single"/>
        </w:rPr>
      </w:pPr>
    </w:p>
    <w:p w14:paraId="0E6D8CDA" w14:textId="0A621462" w:rsidR="00E002F6" w:rsidRPr="00D54683" w:rsidRDefault="008949FE" w:rsidP="00E002F6">
      <w:pPr>
        <w:jc w:val="both"/>
        <w:rPr>
          <w:rFonts w:ascii="Tahoma" w:eastAsia="Calibri" w:hAnsi="Tahoma" w:cs="Tahoma"/>
          <w:sz w:val="22"/>
          <w:szCs w:val="22"/>
          <w:lang w:eastAsia="en-US"/>
        </w:rPr>
      </w:pPr>
      <w:r w:rsidRPr="005E23C0">
        <w:rPr>
          <w:rFonts w:ascii="Tahoma" w:eastAsia="Calibri" w:hAnsi="Tahoma" w:cs="Tahoma"/>
          <w:sz w:val="22"/>
          <w:szCs w:val="22"/>
          <w:lang w:eastAsia="en-US"/>
        </w:rPr>
        <w:t xml:space="preserve">2025. évben szeptember 30. </w:t>
      </w:r>
      <w:r w:rsidRPr="00D54683">
        <w:rPr>
          <w:rFonts w:ascii="Tahoma" w:eastAsia="Calibri" w:hAnsi="Tahoma" w:cs="Tahoma"/>
          <w:sz w:val="22"/>
          <w:szCs w:val="22"/>
          <w:lang w:eastAsia="en-US"/>
        </w:rPr>
        <w:t>fordulónap</w:t>
      </w:r>
      <w:r w:rsidR="002E6377" w:rsidRPr="00D54683">
        <w:rPr>
          <w:rFonts w:ascii="Tahoma" w:eastAsia="Calibri" w:hAnsi="Tahoma" w:cs="Tahoma"/>
          <w:sz w:val="22"/>
          <w:szCs w:val="22"/>
          <w:lang w:eastAsia="en-US"/>
        </w:rPr>
        <w:t>ig önkormányzati</w:t>
      </w:r>
      <w:r w:rsidRPr="00D54683">
        <w:rPr>
          <w:rFonts w:ascii="Tahoma" w:eastAsia="Calibri" w:hAnsi="Tahoma" w:cs="Tahoma"/>
          <w:sz w:val="22"/>
          <w:szCs w:val="22"/>
          <w:lang w:eastAsia="en-US"/>
        </w:rPr>
        <w:t xml:space="preserve"> tőkeemelés </w:t>
      </w:r>
      <w:r w:rsidR="002E6377" w:rsidRPr="00D54683">
        <w:rPr>
          <w:rFonts w:ascii="Tahoma" w:eastAsia="Calibri" w:hAnsi="Tahoma" w:cs="Tahoma"/>
          <w:sz w:val="22"/>
          <w:szCs w:val="22"/>
          <w:lang w:eastAsia="en-US"/>
        </w:rPr>
        <w:t>vagy</w:t>
      </w:r>
      <w:r w:rsidRPr="00D54683">
        <w:rPr>
          <w:rFonts w:ascii="Tahoma" w:eastAsia="Calibri" w:hAnsi="Tahoma" w:cs="Tahoma"/>
          <w:sz w:val="22"/>
          <w:szCs w:val="22"/>
          <w:lang w:eastAsia="en-US"/>
        </w:rPr>
        <w:t xml:space="preserve"> tőketartalékba helyezés nem történt.</w:t>
      </w:r>
    </w:p>
    <w:p w14:paraId="1BC1319B" w14:textId="77777777" w:rsidR="00E002F6" w:rsidRPr="00D54683" w:rsidRDefault="00E002F6" w:rsidP="00E002F6">
      <w:pPr>
        <w:jc w:val="both"/>
        <w:rPr>
          <w:rFonts w:ascii="Tahoma" w:eastAsia="Calibri" w:hAnsi="Tahoma" w:cs="Tahoma"/>
          <w:sz w:val="22"/>
          <w:szCs w:val="22"/>
          <w:lang w:eastAsia="en-US"/>
        </w:rPr>
      </w:pPr>
    </w:p>
    <w:p w14:paraId="5D98D9CE" w14:textId="096F7C0E" w:rsidR="00E002F6" w:rsidRPr="00D54683" w:rsidRDefault="006459B5" w:rsidP="00E002F6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4</w:t>
      </w:r>
      <w:r w:rsidR="00E002F6" w:rsidRPr="00D54683">
        <w:rPr>
          <w:rFonts w:ascii="Tahoma" w:hAnsi="Tahoma" w:cs="Tahoma"/>
          <w:bCs/>
          <w:sz w:val="22"/>
          <w:szCs w:val="22"/>
        </w:rPr>
        <w:t>. számú táblázat: A portfólió vagyon összetétele 202</w:t>
      </w:r>
      <w:r w:rsidR="008949FE" w:rsidRPr="00D54683">
        <w:rPr>
          <w:rFonts w:ascii="Tahoma" w:hAnsi="Tahoma" w:cs="Tahoma"/>
          <w:bCs/>
          <w:sz w:val="22"/>
          <w:szCs w:val="22"/>
        </w:rPr>
        <w:t>5</w:t>
      </w:r>
      <w:r w:rsidR="00E002F6" w:rsidRPr="00D54683">
        <w:rPr>
          <w:rFonts w:ascii="Tahoma" w:hAnsi="Tahoma" w:cs="Tahoma"/>
          <w:bCs/>
          <w:sz w:val="22"/>
          <w:szCs w:val="22"/>
        </w:rPr>
        <w:t>. szeptember 30. fordulónappal</w:t>
      </w:r>
    </w:p>
    <w:p w14:paraId="4BE88D26" w14:textId="77777777" w:rsidR="00E002F6" w:rsidRPr="00D54683" w:rsidRDefault="00E002F6" w:rsidP="00E002F6">
      <w:pPr>
        <w:jc w:val="both"/>
        <w:rPr>
          <w:rFonts w:ascii="Tahoma" w:hAnsi="Tahoma" w:cs="Tahoma"/>
          <w:bCs/>
          <w:sz w:val="22"/>
          <w:szCs w:val="22"/>
        </w:rPr>
      </w:pPr>
    </w:p>
    <w:tbl>
      <w:tblPr>
        <w:tblW w:w="9485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"/>
        <w:gridCol w:w="2129"/>
        <w:gridCol w:w="1135"/>
        <w:gridCol w:w="1593"/>
        <w:gridCol w:w="1191"/>
        <w:gridCol w:w="1253"/>
        <w:gridCol w:w="1675"/>
      </w:tblGrid>
      <w:tr w:rsidR="005E23C0" w:rsidRPr="00716986" w14:paraId="6C708DA3" w14:textId="77777777" w:rsidTr="00812848">
        <w:trPr>
          <w:trHeight w:val="1125"/>
          <w:jc w:val="right"/>
        </w:trPr>
        <w:tc>
          <w:tcPr>
            <w:tcW w:w="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14:paraId="337BD86D" w14:textId="5959DCD3" w:rsidR="00E002F6" w:rsidRPr="00716986" w:rsidRDefault="00E002F6" w:rsidP="005F6D0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DD9C3"/>
            <w:vAlign w:val="bottom"/>
            <w:hideMark/>
          </w:tcPr>
          <w:p w14:paraId="312A9D79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16986">
              <w:rPr>
                <w:rFonts w:ascii="Tahoma" w:hAnsi="Tahoma" w:cs="Tahoma"/>
                <w:b/>
                <w:bCs/>
                <w:sz w:val="20"/>
                <w:szCs w:val="20"/>
              </w:rPr>
              <w:t>társaság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DD9C3"/>
            <w:vAlign w:val="bottom"/>
            <w:hideMark/>
          </w:tcPr>
          <w:p w14:paraId="4AE7F68F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16986">
              <w:rPr>
                <w:rFonts w:ascii="Tahoma" w:hAnsi="Tahoma" w:cs="Tahoma"/>
                <w:b/>
                <w:bCs/>
                <w:sz w:val="20"/>
                <w:szCs w:val="20"/>
              </w:rPr>
              <w:t>tulajdoni hányad</w:t>
            </w:r>
          </w:p>
        </w:tc>
        <w:tc>
          <w:tcPr>
            <w:tcW w:w="15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DD9C3"/>
            <w:vAlign w:val="bottom"/>
            <w:hideMark/>
          </w:tcPr>
          <w:p w14:paraId="3FEAB05A" w14:textId="77777777" w:rsidR="00E002F6" w:rsidRPr="00716986" w:rsidRDefault="00E002F6" w:rsidP="005F6D0E">
            <w:pPr>
              <w:ind w:right="-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16986">
              <w:rPr>
                <w:rFonts w:ascii="Tahoma" w:hAnsi="Tahoma" w:cs="Tahoma"/>
                <w:b/>
                <w:bCs/>
                <w:sz w:val="20"/>
                <w:szCs w:val="20"/>
              </w:rPr>
              <w:t>megnevezés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DD9C3"/>
            <w:vAlign w:val="bottom"/>
            <w:hideMark/>
          </w:tcPr>
          <w:p w14:paraId="297C55D2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16986">
              <w:rPr>
                <w:rFonts w:ascii="Tahoma" w:hAnsi="Tahoma" w:cs="Tahoma"/>
                <w:b/>
                <w:bCs/>
                <w:sz w:val="20"/>
                <w:szCs w:val="20"/>
              </w:rPr>
              <w:t>menny. (db)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DD9C3"/>
            <w:vAlign w:val="bottom"/>
            <w:hideMark/>
          </w:tcPr>
          <w:p w14:paraId="21F52D10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16986">
              <w:rPr>
                <w:rFonts w:ascii="Tahoma" w:hAnsi="Tahoma" w:cs="Tahoma"/>
                <w:b/>
                <w:bCs/>
                <w:sz w:val="20"/>
                <w:szCs w:val="20"/>
              </w:rPr>
              <w:t>névérték összesen (e Ft)</w:t>
            </w:r>
          </w:p>
        </w:tc>
        <w:tc>
          <w:tcPr>
            <w:tcW w:w="16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DD9C3"/>
            <w:vAlign w:val="bottom"/>
            <w:hideMark/>
          </w:tcPr>
          <w:p w14:paraId="55CE7522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16986">
              <w:rPr>
                <w:rFonts w:ascii="Tahoma" w:hAnsi="Tahoma" w:cs="Tahoma"/>
                <w:b/>
                <w:bCs/>
                <w:sz w:val="20"/>
                <w:szCs w:val="20"/>
              </w:rPr>
              <w:t>könyv szerinti érték (e Ft)</w:t>
            </w:r>
          </w:p>
        </w:tc>
      </w:tr>
      <w:tr w:rsidR="005E23C0" w:rsidRPr="00716986" w14:paraId="1D6CDBC5" w14:textId="77777777" w:rsidTr="00812848">
        <w:trPr>
          <w:trHeight w:val="315"/>
          <w:jc w:val="right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4F6A2D2" w14:textId="77777777" w:rsidR="00E002F6" w:rsidRPr="00716986" w:rsidRDefault="00E002F6" w:rsidP="005F6D0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16986">
              <w:rPr>
                <w:rFonts w:ascii="Tahoma" w:hAnsi="Tahoma" w:cs="Tahom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12ED3" w14:textId="77777777" w:rsidR="00E002F6" w:rsidRPr="00716986" w:rsidRDefault="00E002F6" w:rsidP="005F6D0E">
            <w:pPr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Veszprém-Balaton 2023 Zrt.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E3B02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71,59%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2A7400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részvény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B0E749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388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A5B9B5" w14:textId="77777777" w:rsidR="00E002F6" w:rsidRPr="00716986" w:rsidRDefault="00E002F6" w:rsidP="005F6D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19 400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3D21498" w14:textId="77777777" w:rsidR="00E002F6" w:rsidRPr="00716986" w:rsidRDefault="00E002F6" w:rsidP="005F6D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632 410</w:t>
            </w:r>
          </w:p>
        </w:tc>
      </w:tr>
      <w:tr w:rsidR="005E23C0" w:rsidRPr="00716986" w14:paraId="3F6F2E93" w14:textId="77777777" w:rsidTr="00812848">
        <w:trPr>
          <w:trHeight w:val="315"/>
          <w:jc w:val="right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437D228" w14:textId="77777777" w:rsidR="00E002F6" w:rsidRPr="00716986" w:rsidRDefault="00E002F6" w:rsidP="005F6D0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16986">
              <w:rPr>
                <w:rFonts w:ascii="Tahoma" w:hAnsi="Tahoma" w:cs="Tahom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C862E36" w14:textId="5A087533" w:rsidR="00E002F6" w:rsidRPr="00716986" w:rsidRDefault="00E002F6" w:rsidP="005F6D0E">
            <w:pPr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"VKSZ" Zrt.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2A793D3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98,74%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1DEE70F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részvény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F530961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27.511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F9BD3C2" w14:textId="77777777" w:rsidR="00E002F6" w:rsidRPr="00716986" w:rsidRDefault="00E002F6" w:rsidP="005F6D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 xml:space="preserve">2 751 000 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817ADB0" w14:textId="61F4019B" w:rsidR="00E002F6" w:rsidRPr="00716986" w:rsidRDefault="00F22AE8" w:rsidP="005F6D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1 071 93</w:t>
            </w:r>
            <w:r w:rsidR="00F511CF" w:rsidRPr="00716986">
              <w:rPr>
                <w:rFonts w:ascii="Tahoma" w:hAnsi="Tahoma" w:cs="Tahoma"/>
                <w:sz w:val="20"/>
                <w:szCs w:val="20"/>
              </w:rPr>
              <w:t>0</w:t>
            </w:r>
            <w:r w:rsidR="00E002F6" w:rsidRPr="0071698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5E23C0" w:rsidRPr="00716986" w14:paraId="20A17278" w14:textId="77777777" w:rsidTr="00812848">
        <w:trPr>
          <w:trHeight w:val="315"/>
          <w:jc w:val="right"/>
        </w:trPr>
        <w:tc>
          <w:tcPr>
            <w:tcW w:w="655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C6D9F1"/>
            <w:noWrap/>
            <w:vAlign w:val="bottom"/>
            <w:hideMark/>
          </w:tcPr>
          <w:p w14:paraId="275A9E23" w14:textId="77777777" w:rsidR="00E002F6" w:rsidRPr="00716986" w:rsidRDefault="00E002F6" w:rsidP="005F6D0E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16986">
              <w:rPr>
                <w:rFonts w:ascii="Tahoma" w:hAnsi="Tahoma" w:cs="Tahoma"/>
                <w:b/>
                <w:bCs/>
                <w:sz w:val="20"/>
                <w:szCs w:val="20"/>
              </w:rPr>
              <w:t>részvények összesen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14:paraId="5A716B4C" w14:textId="77777777" w:rsidR="00E002F6" w:rsidRPr="00716986" w:rsidRDefault="00E002F6" w:rsidP="005F6D0E">
            <w:pPr>
              <w:jc w:val="right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716986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2 770 500 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6D9F1"/>
            <w:noWrap/>
            <w:vAlign w:val="bottom"/>
            <w:hideMark/>
          </w:tcPr>
          <w:p w14:paraId="4C2E207E" w14:textId="238AD606" w:rsidR="00E002F6" w:rsidRPr="00716986" w:rsidRDefault="00F22AE8" w:rsidP="005F6D0E">
            <w:pPr>
              <w:jc w:val="right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716986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1 704 34</w:t>
            </w:r>
            <w:r w:rsidR="00F511CF" w:rsidRPr="00716986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0</w:t>
            </w:r>
            <w:r w:rsidR="00E002F6" w:rsidRPr="00716986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5E23C0" w:rsidRPr="00716986" w14:paraId="0CE12851" w14:textId="77777777" w:rsidTr="00812848">
        <w:trPr>
          <w:trHeight w:val="315"/>
          <w:jc w:val="right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6CB12043" w14:textId="77777777" w:rsidR="00E002F6" w:rsidRPr="00716986" w:rsidRDefault="00E002F6" w:rsidP="005F6D0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16986">
              <w:rPr>
                <w:rFonts w:ascii="Tahoma" w:hAnsi="Tahoma" w:cs="Tahom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22F8CCB" w14:textId="77777777" w:rsidR="00E002F6" w:rsidRPr="00716986" w:rsidRDefault="00E002F6" w:rsidP="005F6D0E">
            <w:pPr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Veszprém TV Kft.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5393BA9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100%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FB29C29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üzletrész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21D9B99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4E71A17" w14:textId="77777777" w:rsidR="00E002F6" w:rsidRPr="00716986" w:rsidRDefault="00E002F6" w:rsidP="005F6D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 xml:space="preserve">50 100 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40E0D892" w14:textId="4C3358AE" w:rsidR="00E002F6" w:rsidRPr="00716986" w:rsidRDefault="00F22AE8" w:rsidP="005F6D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52 735</w:t>
            </w:r>
          </w:p>
        </w:tc>
      </w:tr>
      <w:tr w:rsidR="005E23C0" w:rsidRPr="00716986" w14:paraId="7CEE7FC9" w14:textId="77777777" w:rsidTr="00812848">
        <w:trPr>
          <w:trHeight w:val="315"/>
          <w:jc w:val="right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34D465A5" w14:textId="77777777" w:rsidR="00E002F6" w:rsidRPr="00716986" w:rsidRDefault="00E002F6" w:rsidP="005F6D0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16986">
              <w:rPr>
                <w:rFonts w:ascii="Tahoma" w:hAnsi="Tahoma" w:cs="Tahom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34C49F3" w14:textId="77777777" w:rsidR="00E002F6" w:rsidRPr="00716986" w:rsidRDefault="00E002F6" w:rsidP="005F6D0E">
            <w:pPr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"Kittenberger K" NP Kft.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0BDD568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100%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DB0C05B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üzletrész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0D07180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79EFA83" w14:textId="77777777" w:rsidR="00E002F6" w:rsidRPr="00716986" w:rsidRDefault="00E002F6" w:rsidP="005F6D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 xml:space="preserve">514 650 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08FD6A95" w14:textId="77777777" w:rsidR="00E002F6" w:rsidRPr="00716986" w:rsidRDefault="00E002F6" w:rsidP="005F6D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 xml:space="preserve">1 936 820 </w:t>
            </w:r>
          </w:p>
        </w:tc>
      </w:tr>
      <w:tr w:rsidR="005E23C0" w:rsidRPr="00716986" w14:paraId="63983F8B" w14:textId="77777777" w:rsidTr="00812848">
        <w:trPr>
          <w:trHeight w:val="315"/>
          <w:jc w:val="right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64A941EC" w14:textId="77777777" w:rsidR="00E002F6" w:rsidRPr="00716986" w:rsidRDefault="00E002F6" w:rsidP="005F6D0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16986">
              <w:rPr>
                <w:rFonts w:ascii="Tahoma" w:hAnsi="Tahoma" w:cs="Tahoma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C52D6F8" w14:textId="77777777" w:rsidR="00E002F6" w:rsidRPr="00716986" w:rsidRDefault="00E002F6" w:rsidP="005F6D0E">
            <w:pPr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V-Busz Kft.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10DD8F0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100%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B4837CB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üzletrész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C9140F7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B75EB85" w14:textId="77777777" w:rsidR="00E002F6" w:rsidRPr="00716986" w:rsidRDefault="00E002F6" w:rsidP="005F6D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3 120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35D9121A" w14:textId="2588FFCD" w:rsidR="00E002F6" w:rsidRPr="00716986" w:rsidRDefault="00E002F6" w:rsidP="005F6D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3</w:t>
            </w:r>
            <w:r w:rsidR="00F22AE8" w:rsidRPr="00716986">
              <w:rPr>
                <w:rFonts w:ascii="Tahoma" w:hAnsi="Tahoma" w:cs="Tahoma"/>
                <w:sz w:val="20"/>
                <w:szCs w:val="20"/>
              </w:rPr>
              <w:t>5</w:t>
            </w:r>
            <w:r w:rsidRPr="00716986">
              <w:rPr>
                <w:rFonts w:ascii="Tahoma" w:hAnsi="Tahoma" w:cs="Tahoma"/>
                <w:sz w:val="20"/>
                <w:szCs w:val="20"/>
              </w:rPr>
              <w:t>0 000</w:t>
            </w:r>
          </w:p>
        </w:tc>
      </w:tr>
      <w:tr w:rsidR="005E23C0" w:rsidRPr="00716986" w14:paraId="00DDA17E" w14:textId="77777777" w:rsidTr="00812848">
        <w:trPr>
          <w:trHeight w:val="315"/>
          <w:jc w:val="right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62CA9800" w14:textId="77777777" w:rsidR="00E002F6" w:rsidRPr="00716986" w:rsidRDefault="00E002F6" w:rsidP="005F6D0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16986">
              <w:rPr>
                <w:rFonts w:ascii="Tahoma" w:hAnsi="Tahoma" w:cs="Tahoma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1363668" w14:textId="77777777" w:rsidR="00E002F6" w:rsidRPr="00716986" w:rsidRDefault="00E002F6" w:rsidP="005F6D0E">
            <w:pPr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Veszprémi Turisztikai NP Kft.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7D1F7AA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70,19%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D172453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üzletrész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BD96FBF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FA0EC4B" w14:textId="77777777" w:rsidR="00E002F6" w:rsidRPr="00716986" w:rsidRDefault="00E002F6" w:rsidP="005F6D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 xml:space="preserve">2 120 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3B95E777" w14:textId="77777777" w:rsidR="00E002F6" w:rsidRPr="00716986" w:rsidRDefault="00E002F6" w:rsidP="005F6D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 xml:space="preserve">7 660 </w:t>
            </w:r>
          </w:p>
        </w:tc>
      </w:tr>
      <w:tr w:rsidR="005E23C0" w:rsidRPr="00716986" w14:paraId="62B4B46A" w14:textId="77777777" w:rsidTr="00812848">
        <w:trPr>
          <w:trHeight w:val="315"/>
          <w:jc w:val="right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51890968" w14:textId="77777777" w:rsidR="00E002F6" w:rsidRPr="00716986" w:rsidRDefault="00E002F6" w:rsidP="005F6D0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16986">
              <w:rPr>
                <w:rFonts w:ascii="Tahoma" w:hAnsi="Tahoma" w:cs="Tahoma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13AC230" w14:textId="77777777" w:rsidR="00E002F6" w:rsidRPr="00716986" w:rsidRDefault="00E002F6" w:rsidP="005F6D0E">
            <w:pPr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 xml:space="preserve">Veszprém 2030 Kft.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6385D7E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100%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B676B24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üzletrész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985F8AE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3A1F251" w14:textId="77777777" w:rsidR="00E002F6" w:rsidRPr="00716986" w:rsidRDefault="00E002F6" w:rsidP="005F6D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 xml:space="preserve">1 452 610 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36D9F5BA" w14:textId="518C6A87" w:rsidR="00E002F6" w:rsidRPr="00716986" w:rsidRDefault="00F511CF" w:rsidP="005F6D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282 352</w:t>
            </w:r>
            <w:r w:rsidR="00E002F6" w:rsidRPr="0071698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5E23C0" w:rsidRPr="00716986" w14:paraId="6AC218D5" w14:textId="77777777" w:rsidTr="00812848">
        <w:trPr>
          <w:trHeight w:val="315"/>
          <w:jc w:val="right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497A2A2A" w14:textId="77777777" w:rsidR="00E002F6" w:rsidRPr="00716986" w:rsidRDefault="00E002F6" w:rsidP="005F6D0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bookmarkStart w:id="7" w:name="_Hlk89358133"/>
            <w:r w:rsidRPr="00716986">
              <w:rPr>
                <w:rFonts w:ascii="Tahoma" w:hAnsi="Tahoma" w:cs="Tahom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EB0570F" w14:textId="77777777" w:rsidR="00E002F6" w:rsidRPr="00716986" w:rsidRDefault="00E002F6" w:rsidP="005F6D0E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16986">
              <w:rPr>
                <w:rFonts w:ascii="Tahoma" w:hAnsi="Tahoma" w:cs="Tahoma"/>
                <w:sz w:val="20"/>
                <w:szCs w:val="20"/>
              </w:rPr>
              <w:t>Swing-Swing</w:t>
            </w:r>
            <w:proofErr w:type="spellEnd"/>
            <w:r w:rsidRPr="00716986">
              <w:rPr>
                <w:rFonts w:ascii="Tahoma" w:hAnsi="Tahoma" w:cs="Tahoma"/>
                <w:sz w:val="20"/>
                <w:szCs w:val="20"/>
              </w:rPr>
              <w:t xml:space="preserve"> Kft.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E08D76D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100%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43D6FE7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üzletrész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3FABBC6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5026004" w14:textId="77777777" w:rsidR="00E002F6" w:rsidRPr="00716986" w:rsidRDefault="00E002F6" w:rsidP="005F6D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 xml:space="preserve">402 100 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372A3F10" w14:textId="77777777" w:rsidR="00E002F6" w:rsidRPr="00716986" w:rsidRDefault="00E002F6" w:rsidP="005F6D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 xml:space="preserve">1 412 000 </w:t>
            </w:r>
          </w:p>
        </w:tc>
      </w:tr>
      <w:bookmarkEnd w:id="7"/>
      <w:tr w:rsidR="005E23C0" w:rsidRPr="00716986" w14:paraId="2CE4E003" w14:textId="77777777" w:rsidTr="00812848">
        <w:trPr>
          <w:trHeight w:val="315"/>
          <w:jc w:val="right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33FA348" w14:textId="77777777" w:rsidR="00E002F6" w:rsidRPr="00716986" w:rsidRDefault="00E002F6" w:rsidP="005F6D0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16986">
              <w:rPr>
                <w:rFonts w:ascii="Tahoma" w:hAnsi="Tahoma" w:cs="Tahoma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B67DD52" w14:textId="77777777" w:rsidR="00E002F6" w:rsidRPr="00716986" w:rsidRDefault="00E002F6" w:rsidP="005F6D0E">
            <w:pPr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Veszprémi Programiroda Kft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AA2564D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100,00%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0D594B3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üzletrész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CB670DE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E14C651" w14:textId="77777777" w:rsidR="00E002F6" w:rsidRPr="00716986" w:rsidRDefault="00E002F6" w:rsidP="005F6D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 xml:space="preserve">3 640 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2E09112E" w14:textId="339C6806" w:rsidR="00E002F6" w:rsidRPr="00716986" w:rsidRDefault="00F511CF" w:rsidP="005F6D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74 396</w:t>
            </w:r>
            <w:r w:rsidR="00E002F6" w:rsidRPr="0071698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5E23C0" w:rsidRPr="00716986" w14:paraId="1FE4A33D" w14:textId="77777777" w:rsidTr="00812848">
        <w:trPr>
          <w:trHeight w:val="315"/>
          <w:jc w:val="right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372A5CF" w14:textId="77777777" w:rsidR="00E002F6" w:rsidRPr="00716986" w:rsidRDefault="00E002F6" w:rsidP="005F6D0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16986">
              <w:rPr>
                <w:rFonts w:ascii="Tahoma" w:hAnsi="Tahoma" w:cs="Tahom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04FE46B" w14:textId="77777777" w:rsidR="00E002F6" w:rsidRPr="00716986" w:rsidRDefault="00E002F6" w:rsidP="005F6D0E">
            <w:pPr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„VESZOL” Nonprofit Kft.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3FABE21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50,987 %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55CC8FC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üzletrész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39752F2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F56013B" w14:textId="77777777" w:rsidR="00E002F6" w:rsidRPr="00716986" w:rsidRDefault="00E002F6" w:rsidP="005F6D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 xml:space="preserve">1 550 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6179FCD0" w14:textId="77777777" w:rsidR="00E002F6" w:rsidRPr="00716986" w:rsidRDefault="00E002F6" w:rsidP="005F6D0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16986">
              <w:rPr>
                <w:rFonts w:ascii="Tahoma" w:hAnsi="Tahoma" w:cs="Tahoma"/>
                <w:sz w:val="20"/>
                <w:szCs w:val="20"/>
              </w:rPr>
              <w:t xml:space="preserve">3 059 </w:t>
            </w:r>
          </w:p>
        </w:tc>
      </w:tr>
      <w:tr w:rsidR="005E23C0" w:rsidRPr="00716986" w14:paraId="5257AE9C" w14:textId="77777777" w:rsidTr="00812848">
        <w:trPr>
          <w:trHeight w:val="315"/>
          <w:jc w:val="right"/>
        </w:trPr>
        <w:tc>
          <w:tcPr>
            <w:tcW w:w="655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14:paraId="21570F50" w14:textId="77777777" w:rsidR="00E002F6" w:rsidRPr="00716986" w:rsidRDefault="00E002F6" w:rsidP="005F6D0E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16986">
              <w:rPr>
                <w:rFonts w:ascii="Tahoma" w:hAnsi="Tahoma" w:cs="Tahoma"/>
                <w:b/>
                <w:bCs/>
                <w:sz w:val="20"/>
                <w:szCs w:val="20"/>
              </w:rPr>
              <w:t>üzletrészek összesen: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14:paraId="23F333BA" w14:textId="77777777" w:rsidR="00E002F6" w:rsidRPr="00716986" w:rsidRDefault="00E002F6" w:rsidP="005F6D0E">
            <w:pPr>
              <w:jc w:val="right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716986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2 429 890 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6D9F1"/>
            <w:noWrap/>
            <w:vAlign w:val="bottom"/>
            <w:hideMark/>
          </w:tcPr>
          <w:p w14:paraId="44141ADF" w14:textId="084ABCFF" w:rsidR="00E002F6" w:rsidRPr="00716986" w:rsidRDefault="00E002F6" w:rsidP="005F6D0E">
            <w:pPr>
              <w:jc w:val="right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716986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4 1</w:t>
            </w:r>
            <w:r w:rsidR="00F511CF" w:rsidRPr="00716986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19</w:t>
            </w:r>
            <w:r w:rsidRPr="00716986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</w:t>
            </w:r>
            <w:r w:rsidR="00F511CF" w:rsidRPr="00716986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022</w:t>
            </w:r>
          </w:p>
        </w:tc>
      </w:tr>
      <w:tr w:rsidR="00E002F6" w:rsidRPr="00716986" w14:paraId="03A5C217" w14:textId="77777777" w:rsidTr="00812848">
        <w:trPr>
          <w:trHeight w:val="390"/>
          <w:jc w:val="right"/>
        </w:trPr>
        <w:tc>
          <w:tcPr>
            <w:tcW w:w="6557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6D9F1"/>
            <w:noWrap/>
            <w:vAlign w:val="bottom"/>
            <w:hideMark/>
          </w:tcPr>
          <w:p w14:paraId="08D26919" w14:textId="77777777" w:rsidR="00E002F6" w:rsidRPr="00716986" w:rsidRDefault="00E002F6" w:rsidP="005F6D0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16986">
              <w:rPr>
                <w:rFonts w:ascii="Tahoma" w:hAnsi="Tahoma" w:cs="Tahoma"/>
                <w:b/>
                <w:bCs/>
                <w:sz w:val="20"/>
                <w:szCs w:val="20"/>
              </w:rPr>
              <w:t>Mindösszesen: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14:paraId="0B169012" w14:textId="77777777" w:rsidR="00E002F6" w:rsidRPr="00716986" w:rsidRDefault="00E002F6" w:rsidP="005F6D0E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1698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5 200 390 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noWrap/>
            <w:vAlign w:val="bottom"/>
            <w:hideMark/>
          </w:tcPr>
          <w:p w14:paraId="7BA1A78D" w14:textId="3AA08616" w:rsidR="00E002F6" w:rsidRPr="00716986" w:rsidRDefault="00F511CF" w:rsidP="005F6D0E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16986">
              <w:rPr>
                <w:rFonts w:ascii="Tahoma" w:hAnsi="Tahoma" w:cs="Tahoma"/>
                <w:b/>
                <w:bCs/>
                <w:sz w:val="20"/>
                <w:szCs w:val="20"/>
              </w:rPr>
              <w:t>5 823 362</w:t>
            </w:r>
            <w:r w:rsidR="00E002F6" w:rsidRPr="0071698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09139532" w14:textId="77777777" w:rsidR="00E002F6" w:rsidRPr="00D54683" w:rsidRDefault="00E002F6" w:rsidP="00E002F6">
      <w:pPr>
        <w:jc w:val="both"/>
        <w:rPr>
          <w:rFonts w:ascii="Tahoma" w:hAnsi="Tahoma" w:cs="Tahoma"/>
          <w:bCs/>
          <w:sz w:val="22"/>
          <w:szCs w:val="22"/>
        </w:rPr>
      </w:pPr>
    </w:p>
    <w:p w14:paraId="5744A778" w14:textId="77777777" w:rsidR="002E6377" w:rsidRPr="00D54683" w:rsidRDefault="002E6377" w:rsidP="00181099">
      <w:pPr>
        <w:jc w:val="both"/>
        <w:rPr>
          <w:rFonts w:ascii="Tahoma" w:hAnsi="Tahoma" w:cs="Tahoma"/>
          <w:bCs/>
          <w:sz w:val="22"/>
          <w:szCs w:val="22"/>
        </w:rPr>
      </w:pPr>
    </w:p>
    <w:p w14:paraId="204DB1FC" w14:textId="42F498A8" w:rsidR="002E6377" w:rsidRPr="00D54683" w:rsidRDefault="0061180F" w:rsidP="00181099">
      <w:pPr>
        <w:jc w:val="both"/>
        <w:rPr>
          <w:rFonts w:ascii="Tahoma" w:hAnsi="Tahoma" w:cs="Tahoma"/>
          <w:bCs/>
          <w:sz w:val="22"/>
          <w:szCs w:val="22"/>
        </w:rPr>
      </w:pPr>
      <w:r w:rsidRPr="00D54683">
        <w:rPr>
          <w:rFonts w:ascii="Tahoma" w:hAnsi="Tahoma" w:cs="Tahoma"/>
          <w:bCs/>
          <w:sz w:val="22"/>
          <w:szCs w:val="22"/>
        </w:rPr>
        <w:t xml:space="preserve">Veszprém Megyei Jogú Város Önkormányzata </w:t>
      </w:r>
      <w:r w:rsidR="002E6377" w:rsidRPr="00D54683">
        <w:rPr>
          <w:rFonts w:ascii="Tahoma" w:hAnsi="Tahoma" w:cs="Tahoma"/>
          <w:bCs/>
          <w:sz w:val="22"/>
          <w:szCs w:val="22"/>
        </w:rPr>
        <w:t>2025</w:t>
      </w:r>
      <w:r w:rsidR="00393FC5">
        <w:rPr>
          <w:rFonts w:ascii="Tahoma" w:hAnsi="Tahoma" w:cs="Tahoma"/>
          <w:bCs/>
          <w:sz w:val="22"/>
          <w:szCs w:val="22"/>
        </w:rPr>
        <w:t>.</w:t>
      </w:r>
      <w:r w:rsidR="002E6377" w:rsidRPr="00D54683">
        <w:rPr>
          <w:rFonts w:ascii="Tahoma" w:hAnsi="Tahoma" w:cs="Tahoma"/>
          <w:bCs/>
          <w:sz w:val="22"/>
          <w:szCs w:val="22"/>
        </w:rPr>
        <w:t xml:space="preserve"> évben egy profi</w:t>
      </w:r>
      <w:r w:rsidR="00D8101B">
        <w:rPr>
          <w:rFonts w:ascii="Tahoma" w:hAnsi="Tahoma" w:cs="Tahoma"/>
          <w:bCs/>
          <w:sz w:val="22"/>
          <w:szCs w:val="22"/>
        </w:rPr>
        <w:t>l</w:t>
      </w:r>
      <w:r w:rsidR="002E6377" w:rsidRPr="00D54683">
        <w:rPr>
          <w:rFonts w:ascii="Tahoma" w:hAnsi="Tahoma" w:cs="Tahoma"/>
          <w:bCs/>
          <w:sz w:val="22"/>
          <w:szCs w:val="22"/>
        </w:rPr>
        <w:t>tisztítási folyamatba kezdett, amely a létszámgazdálkodási feladatokkal való hatékonyabb gazdálkodást is szolgálja a</w:t>
      </w:r>
      <w:r w:rsidR="00D54683" w:rsidRPr="00D54683">
        <w:rPr>
          <w:rFonts w:ascii="Tahoma" w:hAnsi="Tahoma" w:cs="Tahoma"/>
          <w:bCs/>
          <w:sz w:val="22"/>
          <w:szCs w:val="22"/>
        </w:rPr>
        <w:t>z érintett</w:t>
      </w:r>
      <w:r w:rsidR="002E6377" w:rsidRPr="00D54683">
        <w:rPr>
          <w:rFonts w:ascii="Tahoma" w:hAnsi="Tahoma" w:cs="Tahoma"/>
          <w:bCs/>
          <w:sz w:val="22"/>
          <w:szCs w:val="22"/>
        </w:rPr>
        <w:t xml:space="preserve"> gazdasági társaságok vonatkozásában.</w:t>
      </w:r>
    </w:p>
    <w:p w14:paraId="256A9F05" w14:textId="77777777" w:rsidR="00181099" w:rsidRPr="00D54683" w:rsidRDefault="00181099" w:rsidP="00181099">
      <w:pPr>
        <w:jc w:val="both"/>
        <w:rPr>
          <w:rFonts w:ascii="Tahoma" w:hAnsi="Tahoma" w:cs="Tahoma"/>
          <w:bCs/>
          <w:sz w:val="22"/>
          <w:szCs w:val="22"/>
        </w:rPr>
      </w:pPr>
    </w:p>
    <w:p w14:paraId="6C85D5BE" w14:textId="77C74ED9" w:rsidR="00181099" w:rsidRDefault="00181099" w:rsidP="00181099">
      <w:pPr>
        <w:jc w:val="both"/>
        <w:rPr>
          <w:rFonts w:ascii="Tahoma" w:hAnsi="Tahoma" w:cs="Tahoma"/>
          <w:bCs/>
          <w:sz w:val="22"/>
          <w:szCs w:val="22"/>
        </w:rPr>
      </w:pPr>
      <w:r w:rsidRPr="00D54683">
        <w:rPr>
          <w:rFonts w:ascii="Tahoma" w:hAnsi="Tahoma" w:cs="Tahoma"/>
          <w:bCs/>
          <w:sz w:val="22"/>
          <w:szCs w:val="22"/>
        </w:rPr>
        <w:t>Az érintett gazdasági tásaságok tekintetében „VKSZ” Zrt. végelszámolással, jogutód nélkül megszüntet</w:t>
      </w:r>
      <w:r w:rsidR="002E6377" w:rsidRPr="00D54683">
        <w:rPr>
          <w:rFonts w:ascii="Tahoma" w:hAnsi="Tahoma" w:cs="Tahoma"/>
          <w:bCs/>
          <w:sz w:val="22"/>
          <w:szCs w:val="22"/>
        </w:rPr>
        <w:t>te</w:t>
      </w:r>
      <w:r w:rsidRPr="00D54683">
        <w:rPr>
          <w:rFonts w:ascii="Tahoma" w:hAnsi="Tahoma" w:cs="Tahoma"/>
          <w:bCs/>
          <w:sz w:val="22"/>
          <w:szCs w:val="22"/>
        </w:rPr>
        <w:t xml:space="preserve"> a saját tulajdonú gazdasági társaságát, a Kolostorok és Kertek Kft.-t, amelynek munkavállalóit a foglalkoztatási feltételek</w:t>
      </w:r>
      <w:r w:rsidR="002E6377" w:rsidRPr="00D54683">
        <w:rPr>
          <w:rFonts w:ascii="Tahoma" w:hAnsi="Tahoma" w:cs="Tahoma"/>
          <w:bCs/>
          <w:sz w:val="22"/>
          <w:szCs w:val="22"/>
        </w:rPr>
        <w:t xml:space="preserve"> megtartásával </w:t>
      </w:r>
      <w:r w:rsidRPr="00D54683">
        <w:rPr>
          <w:rFonts w:ascii="Tahoma" w:hAnsi="Tahoma" w:cs="Tahoma"/>
          <w:bCs/>
          <w:sz w:val="22"/>
          <w:szCs w:val="22"/>
        </w:rPr>
        <w:t>átve</w:t>
      </w:r>
      <w:r w:rsidR="002E6377" w:rsidRPr="00D54683">
        <w:rPr>
          <w:rFonts w:ascii="Tahoma" w:hAnsi="Tahoma" w:cs="Tahoma"/>
          <w:bCs/>
          <w:sz w:val="22"/>
          <w:szCs w:val="22"/>
        </w:rPr>
        <w:t>tt</w:t>
      </w:r>
      <w:r w:rsidRPr="00D54683">
        <w:rPr>
          <w:rFonts w:ascii="Tahoma" w:hAnsi="Tahoma" w:cs="Tahoma"/>
          <w:bCs/>
          <w:sz w:val="22"/>
          <w:szCs w:val="22"/>
        </w:rPr>
        <w:t xml:space="preserve"> saját munkavállalónak.</w:t>
      </w:r>
    </w:p>
    <w:p w14:paraId="1FD06021" w14:textId="77777777" w:rsidR="004619D5" w:rsidRPr="00D54683" w:rsidRDefault="004619D5" w:rsidP="00181099">
      <w:pPr>
        <w:jc w:val="both"/>
        <w:rPr>
          <w:rFonts w:ascii="Tahoma" w:hAnsi="Tahoma" w:cs="Tahoma"/>
          <w:bCs/>
          <w:sz w:val="22"/>
          <w:szCs w:val="22"/>
        </w:rPr>
      </w:pPr>
    </w:p>
    <w:p w14:paraId="10DF322D" w14:textId="11884F4D" w:rsidR="00181099" w:rsidRDefault="00181099" w:rsidP="00232786">
      <w:pPr>
        <w:jc w:val="both"/>
        <w:rPr>
          <w:rFonts w:ascii="Tahoma" w:hAnsi="Tahoma" w:cs="Tahoma"/>
          <w:bCs/>
          <w:sz w:val="22"/>
          <w:szCs w:val="22"/>
        </w:rPr>
      </w:pPr>
      <w:r w:rsidRPr="00D54683">
        <w:rPr>
          <w:rFonts w:ascii="Tahoma" w:hAnsi="Tahoma" w:cs="Tahoma"/>
          <w:bCs/>
          <w:sz w:val="22"/>
          <w:szCs w:val="22"/>
        </w:rPr>
        <w:t xml:space="preserve">A </w:t>
      </w:r>
      <w:proofErr w:type="spellStart"/>
      <w:r w:rsidRPr="00D54683">
        <w:rPr>
          <w:rFonts w:ascii="Tahoma" w:hAnsi="Tahoma" w:cs="Tahoma"/>
          <w:bCs/>
          <w:sz w:val="22"/>
          <w:szCs w:val="22"/>
        </w:rPr>
        <w:t>Swing-Swing</w:t>
      </w:r>
      <w:proofErr w:type="spellEnd"/>
      <w:r w:rsidRPr="00D54683">
        <w:rPr>
          <w:rFonts w:ascii="Tahoma" w:hAnsi="Tahoma" w:cs="Tahoma"/>
          <w:bCs/>
          <w:sz w:val="22"/>
          <w:szCs w:val="22"/>
        </w:rPr>
        <w:t xml:space="preserve"> Kft. megvásárol</w:t>
      </w:r>
      <w:r w:rsidR="002E6377" w:rsidRPr="00D54683">
        <w:rPr>
          <w:rFonts w:ascii="Tahoma" w:hAnsi="Tahoma" w:cs="Tahoma"/>
          <w:bCs/>
          <w:sz w:val="22"/>
          <w:szCs w:val="22"/>
        </w:rPr>
        <w:t>t</w:t>
      </w:r>
      <w:r w:rsidRPr="00D54683">
        <w:rPr>
          <w:rFonts w:ascii="Tahoma" w:hAnsi="Tahoma" w:cs="Tahoma"/>
          <w:bCs/>
          <w:sz w:val="22"/>
          <w:szCs w:val="22"/>
        </w:rPr>
        <w:t xml:space="preserve">a a Pro Veszprém Kft. üzletrészét névértéken a „VKSZ” </w:t>
      </w:r>
      <w:proofErr w:type="spellStart"/>
      <w:r w:rsidRPr="00D54683">
        <w:rPr>
          <w:rFonts w:ascii="Tahoma" w:hAnsi="Tahoma" w:cs="Tahoma"/>
          <w:bCs/>
          <w:sz w:val="22"/>
          <w:szCs w:val="22"/>
        </w:rPr>
        <w:t>Zrt.-től</w:t>
      </w:r>
      <w:proofErr w:type="spellEnd"/>
      <w:r w:rsidR="00D54683" w:rsidRPr="00D54683">
        <w:rPr>
          <w:rFonts w:ascii="Tahoma" w:hAnsi="Tahoma" w:cs="Tahoma"/>
          <w:bCs/>
          <w:sz w:val="22"/>
          <w:szCs w:val="22"/>
        </w:rPr>
        <w:t>. A folyamatok során a</w:t>
      </w:r>
      <w:r w:rsidRPr="00D54683">
        <w:rPr>
          <w:rFonts w:ascii="Tahoma" w:hAnsi="Tahoma" w:cs="Tahoma"/>
          <w:bCs/>
          <w:sz w:val="22"/>
          <w:szCs w:val="22"/>
        </w:rPr>
        <w:t xml:space="preserve"> Veszprém 2030 Kft. jogutóddal szűn</w:t>
      </w:r>
      <w:r w:rsidR="002E6377" w:rsidRPr="00D54683">
        <w:rPr>
          <w:rFonts w:ascii="Tahoma" w:hAnsi="Tahoma" w:cs="Tahoma"/>
          <w:bCs/>
          <w:sz w:val="22"/>
          <w:szCs w:val="22"/>
        </w:rPr>
        <w:t>t</w:t>
      </w:r>
      <w:r w:rsidRPr="00D54683">
        <w:rPr>
          <w:rFonts w:ascii="Tahoma" w:hAnsi="Tahoma" w:cs="Tahoma"/>
          <w:bCs/>
          <w:sz w:val="22"/>
          <w:szCs w:val="22"/>
        </w:rPr>
        <w:t xml:space="preserve"> meg és </w:t>
      </w:r>
      <w:r w:rsidR="002E6377" w:rsidRPr="00D54683">
        <w:rPr>
          <w:rFonts w:ascii="Tahoma" w:hAnsi="Tahoma" w:cs="Tahoma"/>
          <w:bCs/>
          <w:sz w:val="22"/>
          <w:szCs w:val="22"/>
        </w:rPr>
        <w:t xml:space="preserve">2025. szeptember 30-al </w:t>
      </w:r>
      <w:r w:rsidRPr="00D54683">
        <w:rPr>
          <w:rFonts w:ascii="Tahoma" w:hAnsi="Tahoma" w:cs="Tahoma"/>
          <w:bCs/>
          <w:sz w:val="22"/>
          <w:szCs w:val="22"/>
        </w:rPr>
        <w:t>beolvad</w:t>
      </w:r>
      <w:r w:rsidR="002E6377" w:rsidRPr="00D54683">
        <w:rPr>
          <w:rFonts w:ascii="Tahoma" w:hAnsi="Tahoma" w:cs="Tahoma"/>
          <w:bCs/>
          <w:sz w:val="22"/>
          <w:szCs w:val="22"/>
        </w:rPr>
        <w:t>t</w:t>
      </w:r>
      <w:r w:rsidRPr="00D54683">
        <w:rPr>
          <w:rFonts w:ascii="Tahoma" w:hAnsi="Tahoma" w:cs="Tahoma"/>
          <w:bCs/>
          <w:sz w:val="22"/>
          <w:szCs w:val="22"/>
        </w:rPr>
        <w:t xml:space="preserve"> a </w:t>
      </w:r>
      <w:proofErr w:type="spellStart"/>
      <w:r w:rsidRPr="00D54683">
        <w:rPr>
          <w:rFonts w:ascii="Tahoma" w:hAnsi="Tahoma" w:cs="Tahoma"/>
          <w:bCs/>
          <w:sz w:val="22"/>
          <w:szCs w:val="22"/>
        </w:rPr>
        <w:t>Swing</w:t>
      </w:r>
      <w:proofErr w:type="spellEnd"/>
      <w:r w:rsidRPr="00D54683">
        <w:rPr>
          <w:rFonts w:ascii="Tahoma" w:hAnsi="Tahoma" w:cs="Tahoma"/>
          <w:bCs/>
          <w:sz w:val="22"/>
          <w:szCs w:val="22"/>
        </w:rPr>
        <w:t xml:space="preserve"> </w:t>
      </w:r>
      <w:proofErr w:type="spellStart"/>
      <w:r w:rsidRPr="00D54683">
        <w:rPr>
          <w:rFonts w:ascii="Tahoma" w:hAnsi="Tahoma" w:cs="Tahoma"/>
          <w:bCs/>
          <w:sz w:val="22"/>
          <w:szCs w:val="22"/>
        </w:rPr>
        <w:t>Swing</w:t>
      </w:r>
      <w:proofErr w:type="spellEnd"/>
      <w:r w:rsidRPr="00D54683">
        <w:rPr>
          <w:rFonts w:ascii="Tahoma" w:hAnsi="Tahoma" w:cs="Tahoma"/>
          <w:bCs/>
          <w:sz w:val="22"/>
          <w:szCs w:val="22"/>
        </w:rPr>
        <w:t xml:space="preserve"> </w:t>
      </w:r>
      <w:proofErr w:type="spellStart"/>
      <w:r w:rsidRPr="00D54683">
        <w:rPr>
          <w:rFonts w:ascii="Tahoma" w:hAnsi="Tahoma" w:cs="Tahoma"/>
          <w:bCs/>
          <w:sz w:val="22"/>
          <w:szCs w:val="22"/>
        </w:rPr>
        <w:t>Kft.-be</w:t>
      </w:r>
      <w:proofErr w:type="spellEnd"/>
      <w:r w:rsidR="00FD75BB" w:rsidRPr="00D54683">
        <w:rPr>
          <w:rFonts w:ascii="Tahoma" w:hAnsi="Tahoma" w:cs="Tahoma"/>
          <w:bCs/>
          <w:sz w:val="22"/>
          <w:szCs w:val="22"/>
        </w:rPr>
        <w:t>.</w:t>
      </w:r>
    </w:p>
    <w:p w14:paraId="02C87DA7" w14:textId="77777777" w:rsidR="004619D5" w:rsidRPr="00D54683" w:rsidRDefault="004619D5" w:rsidP="00232786">
      <w:pPr>
        <w:jc w:val="both"/>
        <w:rPr>
          <w:rFonts w:ascii="Tahoma" w:hAnsi="Tahoma" w:cs="Tahoma"/>
          <w:bCs/>
          <w:sz w:val="22"/>
          <w:szCs w:val="22"/>
        </w:rPr>
      </w:pPr>
    </w:p>
    <w:p w14:paraId="31198FA4" w14:textId="105F0D64" w:rsidR="00E002F6" w:rsidRDefault="00AE3BAF" w:rsidP="00E002F6">
      <w:pPr>
        <w:jc w:val="both"/>
        <w:rPr>
          <w:rFonts w:ascii="Tahoma" w:hAnsi="Tahoma" w:cs="Tahoma"/>
          <w:bCs/>
          <w:sz w:val="22"/>
          <w:szCs w:val="22"/>
        </w:rPr>
      </w:pPr>
      <w:r w:rsidRPr="00D54683">
        <w:rPr>
          <w:rFonts w:ascii="Tahoma" w:hAnsi="Tahoma" w:cs="Tahoma"/>
          <w:bCs/>
          <w:sz w:val="22"/>
          <w:szCs w:val="22"/>
        </w:rPr>
        <w:t>Az átszervezések eredményeképpen egy 100%-os tulajdonú, önkormányzati vagyongazdálkodással, projekt- és pályázati menedzsmenttel, valamint új elemként városi energiamenedzsmenttel foglalkozó szakmai profilú gazdasági társaság</w:t>
      </w:r>
      <w:r w:rsidR="004A1E16" w:rsidRPr="00D54683">
        <w:rPr>
          <w:rFonts w:ascii="Tahoma" w:hAnsi="Tahoma" w:cs="Tahoma"/>
          <w:bCs/>
          <w:sz w:val="22"/>
          <w:szCs w:val="22"/>
        </w:rPr>
        <w:t xml:space="preserve"> </w:t>
      </w:r>
      <w:r w:rsidR="00D54683" w:rsidRPr="00D54683">
        <w:rPr>
          <w:rFonts w:ascii="Tahoma" w:hAnsi="Tahoma" w:cs="Tahoma"/>
          <w:bCs/>
          <w:sz w:val="22"/>
          <w:szCs w:val="22"/>
        </w:rPr>
        <w:t xml:space="preserve">jött létre </w:t>
      </w:r>
      <w:r w:rsidR="004A1E16" w:rsidRPr="00D54683">
        <w:rPr>
          <w:rFonts w:ascii="Tahoma" w:hAnsi="Tahoma" w:cs="Tahoma"/>
          <w:bCs/>
          <w:sz w:val="22"/>
          <w:szCs w:val="22"/>
        </w:rPr>
        <w:t>Veszprémi Városfejlesztési és Innovációs K</w:t>
      </w:r>
      <w:r w:rsidR="004619D5">
        <w:rPr>
          <w:rFonts w:ascii="Tahoma" w:hAnsi="Tahoma" w:cs="Tahoma"/>
          <w:bCs/>
          <w:sz w:val="22"/>
          <w:szCs w:val="22"/>
        </w:rPr>
        <w:t>orlátolt Felelősségű Társaság</w:t>
      </w:r>
      <w:r w:rsidR="004A1E16" w:rsidRPr="00D54683">
        <w:rPr>
          <w:rFonts w:ascii="Tahoma" w:hAnsi="Tahoma" w:cs="Tahoma"/>
          <w:bCs/>
          <w:sz w:val="22"/>
          <w:szCs w:val="22"/>
        </w:rPr>
        <w:t xml:space="preserve"> </w:t>
      </w:r>
      <w:r w:rsidR="00D54683" w:rsidRPr="00D54683">
        <w:rPr>
          <w:rFonts w:ascii="Tahoma" w:hAnsi="Tahoma" w:cs="Tahoma"/>
          <w:bCs/>
          <w:sz w:val="22"/>
          <w:szCs w:val="22"/>
        </w:rPr>
        <w:t>(a továbbiakban</w:t>
      </w:r>
      <w:r w:rsidR="004619D5">
        <w:rPr>
          <w:rFonts w:ascii="Tahoma" w:hAnsi="Tahoma" w:cs="Tahoma"/>
          <w:bCs/>
          <w:sz w:val="22"/>
          <w:szCs w:val="22"/>
        </w:rPr>
        <w:t>:</w:t>
      </w:r>
      <w:r w:rsidR="00D54683" w:rsidRPr="00D54683">
        <w:rPr>
          <w:rFonts w:ascii="Tahoma" w:hAnsi="Tahoma" w:cs="Tahoma"/>
          <w:bCs/>
          <w:sz w:val="22"/>
          <w:szCs w:val="22"/>
        </w:rPr>
        <w:t xml:space="preserve"> VVI Kft.) néven.</w:t>
      </w:r>
    </w:p>
    <w:p w14:paraId="4CAD5EA4" w14:textId="77777777" w:rsidR="004619D5" w:rsidRPr="00D54683" w:rsidRDefault="004619D5" w:rsidP="00E002F6">
      <w:pPr>
        <w:jc w:val="both"/>
        <w:rPr>
          <w:rFonts w:ascii="Tahoma" w:hAnsi="Tahoma" w:cs="Tahoma"/>
          <w:bCs/>
          <w:sz w:val="22"/>
          <w:szCs w:val="22"/>
        </w:rPr>
      </w:pPr>
    </w:p>
    <w:p w14:paraId="39E30301" w14:textId="5D4DE02D" w:rsidR="008C370B" w:rsidRDefault="008C370B" w:rsidP="008C370B">
      <w:pPr>
        <w:jc w:val="both"/>
        <w:rPr>
          <w:rFonts w:ascii="Tahoma" w:hAnsi="Tahoma" w:cs="Tahoma"/>
          <w:bCs/>
          <w:sz w:val="22"/>
          <w:szCs w:val="22"/>
        </w:rPr>
      </w:pPr>
      <w:r w:rsidRPr="00D54683">
        <w:rPr>
          <w:rFonts w:ascii="Tahoma" w:hAnsi="Tahoma" w:cs="Tahoma"/>
          <w:bCs/>
          <w:sz w:val="22"/>
          <w:szCs w:val="22"/>
        </w:rPr>
        <w:t>Veszprém Megyei Jogú Város Önkormányzatának Közgyűlése a 367/2025. (IX.</w:t>
      </w:r>
      <w:r w:rsidR="004619D5">
        <w:rPr>
          <w:rFonts w:ascii="Tahoma" w:hAnsi="Tahoma" w:cs="Tahoma"/>
          <w:bCs/>
          <w:sz w:val="22"/>
          <w:szCs w:val="22"/>
        </w:rPr>
        <w:t xml:space="preserve"> </w:t>
      </w:r>
      <w:r w:rsidRPr="00D54683">
        <w:rPr>
          <w:rFonts w:ascii="Tahoma" w:hAnsi="Tahoma" w:cs="Tahoma"/>
          <w:bCs/>
          <w:sz w:val="22"/>
          <w:szCs w:val="22"/>
        </w:rPr>
        <w:t xml:space="preserve">25.) határozatával döntött a VVI Kft. törzstőkéjének megemeléséről a Veszprém 9258/4-7 és 9258/9-19 hrsz.-ú – természetben a Veszprém, Haraszt utcában és Szőlőhegy utcában található – ingatlanokat magába foglaló vagyontömeg tulajdonjogának nem pénzbeli vagyoni hozzájárulás – apport – jogcímén történő átruházásáról. A törzstőkeemelés mértéke 111.600.000,- Ft, melyet Veszprém Megyei Jogú Város </w:t>
      </w:r>
      <w:proofErr w:type="gramStart"/>
      <w:r w:rsidRPr="00D54683">
        <w:rPr>
          <w:rFonts w:ascii="Tahoma" w:hAnsi="Tahoma" w:cs="Tahoma"/>
          <w:bCs/>
          <w:sz w:val="22"/>
          <w:szCs w:val="22"/>
        </w:rPr>
        <w:t>Önkormányzata</w:t>
      </w:r>
      <w:proofErr w:type="gramEnd"/>
      <w:r w:rsidRPr="00D54683">
        <w:rPr>
          <w:rFonts w:ascii="Tahoma" w:hAnsi="Tahoma" w:cs="Tahoma"/>
          <w:bCs/>
          <w:sz w:val="22"/>
          <w:szCs w:val="22"/>
        </w:rPr>
        <w:t xml:space="preserve"> mint alapító 2025. december 1. napjával teljesít.</w:t>
      </w:r>
    </w:p>
    <w:p w14:paraId="3BD98901" w14:textId="77777777" w:rsidR="004619D5" w:rsidRPr="00D54683" w:rsidRDefault="004619D5" w:rsidP="008C370B">
      <w:pPr>
        <w:jc w:val="both"/>
        <w:rPr>
          <w:rFonts w:ascii="Tahoma" w:hAnsi="Tahoma" w:cs="Tahoma"/>
          <w:bCs/>
          <w:sz w:val="22"/>
          <w:szCs w:val="22"/>
        </w:rPr>
      </w:pPr>
    </w:p>
    <w:p w14:paraId="73EF2ECA" w14:textId="77777777" w:rsidR="008C370B" w:rsidRPr="00D54683" w:rsidRDefault="008C370B" w:rsidP="00E002F6">
      <w:pPr>
        <w:jc w:val="both"/>
        <w:rPr>
          <w:rFonts w:ascii="Tahoma" w:hAnsi="Tahoma" w:cs="Tahoma"/>
          <w:bCs/>
          <w:sz w:val="22"/>
          <w:szCs w:val="22"/>
        </w:rPr>
      </w:pPr>
    </w:p>
    <w:p w14:paraId="36F6B8C8" w14:textId="6D6B52C9" w:rsidR="00B05B03" w:rsidRPr="005E23C0" w:rsidRDefault="00D54683" w:rsidP="00D54683">
      <w:pPr>
        <w:jc w:val="both"/>
        <w:rPr>
          <w:rFonts w:ascii="Tahoma" w:eastAsia="Calibri" w:hAnsi="Tahoma" w:cs="Tahoma"/>
          <w:sz w:val="22"/>
          <w:szCs w:val="22"/>
          <w:lang w:eastAsia="en-US"/>
        </w:rPr>
      </w:pPr>
      <w:r w:rsidRPr="00D54683">
        <w:rPr>
          <w:rFonts w:ascii="Tahoma" w:hAnsi="Tahoma" w:cs="Tahoma"/>
          <w:bCs/>
          <w:sz w:val="22"/>
          <w:szCs w:val="22"/>
        </w:rPr>
        <w:lastRenderedPageBreak/>
        <w:t xml:space="preserve">A </w:t>
      </w:r>
      <w:r w:rsidR="00B70B30" w:rsidRPr="00D54683">
        <w:rPr>
          <w:rFonts w:ascii="Tahoma" w:hAnsi="Tahoma" w:cs="Tahoma"/>
          <w:bCs/>
          <w:sz w:val="22"/>
          <w:szCs w:val="22"/>
        </w:rPr>
        <w:t>„VKSZ” Zrt</w:t>
      </w:r>
      <w:r w:rsidRPr="00D54683">
        <w:rPr>
          <w:rFonts w:ascii="Tahoma" w:hAnsi="Tahoma" w:cs="Tahoma"/>
          <w:bCs/>
          <w:sz w:val="22"/>
          <w:szCs w:val="22"/>
        </w:rPr>
        <w:t>.</w:t>
      </w:r>
      <w:r w:rsidR="00B70B30" w:rsidRPr="00D54683">
        <w:rPr>
          <w:rFonts w:ascii="Tahoma" w:hAnsi="Tahoma" w:cs="Tahoma"/>
          <w:bCs/>
          <w:sz w:val="22"/>
          <w:szCs w:val="22"/>
        </w:rPr>
        <w:t xml:space="preserve"> pénzügyi helyzete alapján megállapítható</w:t>
      </w:r>
      <w:r w:rsidRPr="00D54683">
        <w:rPr>
          <w:rFonts w:ascii="Tahoma" w:hAnsi="Tahoma" w:cs="Tahoma"/>
          <w:bCs/>
          <w:sz w:val="22"/>
          <w:szCs w:val="22"/>
        </w:rPr>
        <w:t xml:space="preserve"> volt 2025-ben,</w:t>
      </w:r>
      <w:r w:rsidR="00B70B30" w:rsidRPr="00D54683">
        <w:rPr>
          <w:rFonts w:ascii="Tahoma" w:hAnsi="Tahoma" w:cs="Tahoma"/>
          <w:bCs/>
          <w:sz w:val="22"/>
          <w:szCs w:val="22"/>
        </w:rPr>
        <w:t xml:space="preserve"> hogy 2 egymást követő évben a saját tőke mértéke nem ér</w:t>
      </w:r>
      <w:r w:rsidRPr="00D54683">
        <w:rPr>
          <w:rFonts w:ascii="Tahoma" w:hAnsi="Tahoma" w:cs="Tahoma"/>
          <w:bCs/>
          <w:sz w:val="22"/>
          <w:szCs w:val="22"/>
        </w:rPr>
        <w:t>te</w:t>
      </w:r>
      <w:r w:rsidR="00B70B30" w:rsidRPr="00D54683">
        <w:rPr>
          <w:rFonts w:ascii="Tahoma" w:hAnsi="Tahoma" w:cs="Tahoma"/>
          <w:bCs/>
          <w:sz w:val="22"/>
          <w:szCs w:val="22"/>
        </w:rPr>
        <w:t xml:space="preserve"> el a törzstőke kétharmadát, amely a hatályos jogszabályok szerint </w:t>
      </w:r>
      <w:r w:rsidRPr="00D54683">
        <w:rPr>
          <w:rFonts w:ascii="Tahoma" w:hAnsi="Tahoma" w:cs="Tahoma"/>
          <w:bCs/>
          <w:sz w:val="22"/>
          <w:szCs w:val="22"/>
        </w:rPr>
        <w:t>tulajdonosi</w:t>
      </w:r>
      <w:r w:rsidR="00B70B30" w:rsidRPr="00D54683">
        <w:rPr>
          <w:rFonts w:ascii="Tahoma" w:hAnsi="Tahoma" w:cs="Tahoma"/>
          <w:bCs/>
          <w:sz w:val="22"/>
          <w:szCs w:val="22"/>
        </w:rPr>
        <w:t xml:space="preserve"> intézkedést igényel. </w:t>
      </w:r>
      <w:r w:rsidRPr="00D54683">
        <w:rPr>
          <w:rFonts w:ascii="Tahoma" w:hAnsi="Tahoma" w:cs="Tahoma"/>
          <w:bCs/>
          <w:sz w:val="22"/>
          <w:szCs w:val="22"/>
        </w:rPr>
        <w:t>Mivel a</w:t>
      </w:r>
      <w:r w:rsidR="00B70B30" w:rsidRPr="00D54683">
        <w:rPr>
          <w:rFonts w:ascii="Tahoma" w:hAnsi="Tahoma" w:cs="Tahoma"/>
          <w:bCs/>
          <w:sz w:val="22"/>
          <w:szCs w:val="22"/>
        </w:rPr>
        <w:t xml:space="preserve"> tőkeemelés vagyoni apport formájában is megvalósítható</w:t>
      </w:r>
      <w:r w:rsidRPr="00D54683">
        <w:rPr>
          <w:rFonts w:ascii="Tahoma" w:hAnsi="Tahoma" w:cs="Tahoma"/>
          <w:bCs/>
          <w:sz w:val="22"/>
          <w:szCs w:val="22"/>
        </w:rPr>
        <w:t>, ezért a</w:t>
      </w:r>
      <w:r w:rsidR="00B70B30" w:rsidRPr="00D54683">
        <w:rPr>
          <w:rFonts w:ascii="Tahoma" w:hAnsi="Tahoma" w:cs="Tahoma"/>
          <w:bCs/>
          <w:sz w:val="22"/>
          <w:szCs w:val="22"/>
        </w:rPr>
        <w:t>z alaptőke felemelése nem pénzbeli hozzájárulásban, hanem ingatlan és kapcsolódó ingóságok apportjában testesül</w:t>
      </w:r>
      <w:r w:rsidRPr="00D54683">
        <w:rPr>
          <w:rFonts w:ascii="Tahoma" w:hAnsi="Tahoma" w:cs="Tahoma"/>
          <w:bCs/>
          <w:sz w:val="22"/>
          <w:szCs w:val="22"/>
        </w:rPr>
        <w:t>t</w:t>
      </w:r>
      <w:r w:rsidR="00B70B30" w:rsidRPr="00D54683">
        <w:rPr>
          <w:rFonts w:ascii="Tahoma" w:hAnsi="Tahoma" w:cs="Tahoma"/>
          <w:bCs/>
          <w:sz w:val="22"/>
          <w:szCs w:val="22"/>
        </w:rPr>
        <w:t xml:space="preserve"> meg, amelynek tárgyai ingatlanok, valamint kapcsolódó ingóságok. A vagyonelemek forgalmi értéke ingatlanok esetén összesen 2.349.600.000,- Ft, a kapcsolódó ingóságok esetében 8.567.707,- Ft, azaz mindösszesen 2.358.167.707,- Ft. A nem pénzbeli hozzájárulás szolgáltatásának esedékessége legkésőbb 2025. november 1. napja.</w:t>
      </w:r>
      <w:r w:rsidRPr="00D54683">
        <w:rPr>
          <w:rFonts w:ascii="Tahoma" w:hAnsi="Tahoma" w:cs="Tahoma"/>
          <w:bCs/>
          <w:sz w:val="22"/>
          <w:szCs w:val="22"/>
        </w:rPr>
        <w:t xml:space="preserve"> Az apport érdekében megszüntetésre került a</w:t>
      </w:r>
      <w:r w:rsidR="00B05B03" w:rsidRPr="00D54683">
        <w:rPr>
          <w:rFonts w:ascii="Tahoma" w:eastAsia="Calibri" w:hAnsi="Tahoma" w:cs="Tahoma"/>
          <w:sz w:val="22"/>
          <w:szCs w:val="22"/>
          <w:lang w:eastAsia="en-US"/>
        </w:rPr>
        <w:t xml:space="preserve"> Völgyhíd tér 2. szám alatti</w:t>
      </w:r>
      <w:r w:rsidR="004619D5">
        <w:rPr>
          <w:rFonts w:ascii="Tahoma" w:eastAsia="Calibri" w:hAnsi="Tahoma" w:cs="Tahoma"/>
          <w:sz w:val="22"/>
          <w:szCs w:val="22"/>
          <w:lang w:eastAsia="en-US"/>
        </w:rPr>
        <w:t>,</w:t>
      </w:r>
      <w:r w:rsidR="00B05B03" w:rsidRPr="00D54683">
        <w:rPr>
          <w:rFonts w:ascii="Tahoma" w:eastAsia="Calibri" w:hAnsi="Tahoma" w:cs="Tahoma"/>
          <w:sz w:val="22"/>
          <w:szCs w:val="22"/>
          <w:lang w:eastAsia="en-US"/>
        </w:rPr>
        <w:t xml:space="preserve"> Veszprém 1121 hrsz.-ú, „kivett kollégium és udvar” </w:t>
      </w:r>
      <w:r w:rsidRPr="00D54683">
        <w:rPr>
          <w:rFonts w:ascii="Tahoma" w:eastAsia="Calibri" w:hAnsi="Tahoma" w:cs="Tahoma"/>
          <w:sz w:val="22"/>
          <w:szCs w:val="22"/>
          <w:lang w:eastAsia="en-US"/>
        </w:rPr>
        <w:t>tárgyú</w:t>
      </w:r>
      <w:r w:rsidR="00B05B03" w:rsidRPr="00D54683">
        <w:rPr>
          <w:rFonts w:ascii="Tahoma" w:eastAsia="Calibri" w:hAnsi="Tahoma" w:cs="Tahoma"/>
          <w:sz w:val="22"/>
          <w:szCs w:val="22"/>
          <w:lang w:eastAsia="en-US"/>
        </w:rPr>
        <w:t xml:space="preserve"> vagyonkezelői szerződés</w:t>
      </w:r>
      <w:r w:rsidRPr="00D54683">
        <w:rPr>
          <w:rFonts w:ascii="Tahoma" w:eastAsia="Calibri" w:hAnsi="Tahoma" w:cs="Tahoma"/>
          <w:sz w:val="22"/>
          <w:szCs w:val="22"/>
          <w:lang w:eastAsia="en-US"/>
        </w:rPr>
        <w:t xml:space="preserve">, </w:t>
      </w:r>
      <w:bookmarkStart w:id="8" w:name="_Hlk89358181"/>
      <w:r w:rsidRPr="00D54683">
        <w:rPr>
          <w:rFonts w:ascii="Tahoma" w:eastAsia="Calibri" w:hAnsi="Tahoma" w:cs="Tahoma"/>
          <w:sz w:val="22"/>
          <w:szCs w:val="22"/>
          <w:lang w:eastAsia="en-US"/>
        </w:rPr>
        <w:t xml:space="preserve">illetve a </w:t>
      </w:r>
      <w:r w:rsidR="00B05B03" w:rsidRPr="00D54683">
        <w:rPr>
          <w:rFonts w:ascii="Tahoma" w:eastAsia="Calibri" w:hAnsi="Tahoma" w:cs="Tahoma"/>
          <w:sz w:val="22"/>
          <w:szCs w:val="22"/>
          <w:lang w:eastAsia="en-US"/>
        </w:rPr>
        <w:t>Veszprémi Piac- és Vásárcsarnok tárgyában a „VKSZ” Zrt.-vel 2021. február 1. napjával létrejött vagyonkezelési szerződés</w:t>
      </w:r>
      <w:r w:rsidRPr="00D54683">
        <w:rPr>
          <w:rFonts w:ascii="Tahoma" w:eastAsia="Calibri" w:hAnsi="Tahoma" w:cs="Tahoma"/>
          <w:sz w:val="22"/>
          <w:szCs w:val="22"/>
          <w:lang w:eastAsia="en-US"/>
        </w:rPr>
        <w:t>. Ugyancsak apportba való átadás miatt megszüntetésre került a Veszprém 6143/4 hrsz</w:t>
      </w:r>
      <w:r w:rsidR="004619D5">
        <w:rPr>
          <w:rFonts w:ascii="Tahoma" w:eastAsia="Calibri" w:hAnsi="Tahoma" w:cs="Tahoma"/>
          <w:sz w:val="22"/>
          <w:szCs w:val="22"/>
          <w:lang w:eastAsia="en-US"/>
        </w:rPr>
        <w:t>.</w:t>
      </w:r>
      <w:r w:rsidRPr="00D54683">
        <w:rPr>
          <w:rFonts w:ascii="Tahoma" w:eastAsia="Calibri" w:hAnsi="Tahoma" w:cs="Tahoma"/>
          <w:sz w:val="22"/>
          <w:szCs w:val="22"/>
          <w:lang w:eastAsia="en-US"/>
        </w:rPr>
        <w:t>-ú, Veszprém 2775 hrsz</w:t>
      </w:r>
      <w:r w:rsidR="004619D5">
        <w:rPr>
          <w:rFonts w:ascii="Tahoma" w:eastAsia="Calibri" w:hAnsi="Tahoma" w:cs="Tahoma"/>
          <w:sz w:val="22"/>
          <w:szCs w:val="22"/>
          <w:lang w:eastAsia="en-US"/>
        </w:rPr>
        <w:t>.</w:t>
      </w:r>
      <w:r w:rsidRPr="00D54683">
        <w:rPr>
          <w:rFonts w:ascii="Tahoma" w:eastAsia="Calibri" w:hAnsi="Tahoma" w:cs="Tahoma"/>
          <w:sz w:val="22"/>
          <w:szCs w:val="22"/>
          <w:lang w:eastAsia="en-US"/>
        </w:rPr>
        <w:t>-ú, Veszprém 9560 hrsz</w:t>
      </w:r>
      <w:r w:rsidR="004619D5">
        <w:rPr>
          <w:rFonts w:ascii="Tahoma" w:eastAsia="Calibri" w:hAnsi="Tahoma" w:cs="Tahoma"/>
          <w:sz w:val="22"/>
          <w:szCs w:val="22"/>
          <w:lang w:eastAsia="en-US"/>
        </w:rPr>
        <w:t>.</w:t>
      </w:r>
      <w:r w:rsidRPr="00D54683">
        <w:rPr>
          <w:rFonts w:ascii="Tahoma" w:eastAsia="Calibri" w:hAnsi="Tahoma" w:cs="Tahoma"/>
          <w:sz w:val="22"/>
          <w:szCs w:val="22"/>
          <w:lang w:eastAsia="en-US"/>
        </w:rPr>
        <w:t>-ú, Veszprém 9124/1 hrsz</w:t>
      </w:r>
      <w:r w:rsidR="004619D5">
        <w:rPr>
          <w:rFonts w:ascii="Tahoma" w:eastAsia="Calibri" w:hAnsi="Tahoma" w:cs="Tahoma"/>
          <w:sz w:val="22"/>
          <w:szCs w:val="22"/>
          <w:lang w:eastAsia="en-US"/>
        </w:rPr>
        <w:t>.</w:t>
      </w:r>
      <w:r w:rsidRPr="00D54683">
        <w:rPr>
          <w:rFonts w:ascii="Tahoma" w:eastAsia="Calibri" w:hAnsi="Tahoma" w:cs="Tahoma"/>
          <w:sz w:val="22"/>
          <w:szCs w:val="22"/>
          <w:lang w:eastAsia="en-US"/>
        </w:rPr>
        <w:t>-ú, Veszprém 6316/1 hrsz</w:t>
      </w:r>
      <w:r w:rsidR="004619D5">
        <w:rPr>
          <w:rFonts w:ascii="Tahoma" w:eastAsia="Calibri" w:hAnsi="Tahoma" w:cs="Tahoma"/>
          <w:sz w:val="22"/>
          <w:szCs w:val="22"/>
          <w:lang w:eastAsia="en-US"/>
        </w:rPr>
        <w:t>.</w:t>
      </w:r>
      <w:r w:rsidRPr="00D54683">
        <w:rPr>
          <w:rFonts w:ascii="Tahoma" w:eastAsia="Calibri" w:hAnsi="Tahoma" w:cs="Tahoma"/>
          <w:sz w:val="22"/>
          <w:szCs w:val="22"/>
          <w:lang w:eastAsia="en-US"/>
        </w:rPr>
        <w:t>-ú, Veszprém 5084/1 hrsz</w:t>
      </w:r>
      <w:r w:rsidR="004619D5">
        <w:rPr>
          <w:rFonts w:ascii="Tahoma" w:eastAsia="Calibri" w:hAnsi="Tahoma" w:cs="Tahoma"/>
          <w:sz w:val="22"/>
          <w:szCs w:val="22"/>
          <w:lang w:eastAsia="en-US"/>
        </w:rPr>
        <w:t>.</w:t>
      </w:r>
      <w:r w:rsidRPr="00D54683">
        <w:rPr>
          <w:rFonts w:ascii="Tahoma" w:eastAsia="Calibri" w:hAnsi="Tahoma" w:cs="Tahoma"/>
          <w:sz w:val="22"/>
          <w:szCs w:val="22"/>
          <w:lang w:eastAsia="en-US"/>
        </w:rPr>
        <w:t>-ú, és a Veszprém 1919/1 hrsz</w:t>
      </w:r>
      <w:r w:rsidR="004619D5">
        <w:rPr>
          <w:rFonts w:ascii="Tahoma" w:eastAsia="Calibri" w:hAnsi="Tahoma" w:cs="Tahoma"/>
          <w:sz w:val="22"/>
          <w:szCs w:val="22"/>
          <w:lang w:eastAsia="en-US"/>
        </w:rPr>
        <w:t>.</w:t>
      </w:r>
      <w:r w:rsidRPr="00D54683">
        <w:rPr>
          <w:rFonts w:ascii="Tahoma" w:eastAsia="Calibri" w:hAnsi="Tahoma" w:cs="Tahoma"/>
          <w:sz w:val="22"/>
          <w:szCs w:val="22"/>
          <w:lang w:eastAsia="en-US"/>
        </w:rPr>
        <w:t>-ú kivett közteremtő megnevezésű ingatlanok vagyonkezelői szerződése.</w:t>
      </w:r>
    </w:p>
    <w:bookmarkEnd w:id="8"/>
    <w:p w14:paraId="6C343E09" w14:textId="77777777" w:rsidR="00B05B03" w:rsidRDefault="00B05B03" w:rsidP="00E002F6">
      <w:pPr>
        <w:jc w:val="both"/>
        <w:rPr>
          <w:rFonts w:ascii="Tahoma" w:hAnsi="Tahoma" w:cs="Tahoma"/>
          <w:bCs/>
          <w:sz w:val="22"/>
          <w:szCs w:val="22"/>
        </w:rPr>
      </w:pPr>
    </w:p>
    <w:p w14:paraId="1BBEF182" w14:textId="3956B59E" w:rsidR="00EF3692" w:rsidRDefault="00EF3692" w:rsidP="00EF3692">
      <w:pPr>
        <w:jc w:val="both"/>
        <w:rPr>
          <w:rFonts w:ascii="Tahoma" w:hAnsi="Tahoma" w:cs="Tahoma"/>
          <w:bCs/>
          <w:sz w:val="22"/>
          <w:szCs w:val="22"/>
        </w:rPr>
      </w:pPr>
      <w:r w:rsidRPr="00EF3692">
        <w:rPr>
          <w:rFonts w:ascii="Tahoma" w:hAnsi="Tahoma" w:cs="Tahoma"/>
          <w:bCs/>
          <w:sz w:val="22"/>
          <w:szCs w:val="22"/>
        </w:rPr>
        <w:t>A Veszprém-Balaton 2023 Zrt. alaptőkéje 27.100.000 Ft, amely teljes egészében pénzbeli hozzájárulásból áll. Az alaptőke 542 db egyenként 50.000 Ft névértékű</w:t>
      </w:r>
      <w:r>
        <w:rPr>
          <w:rFonts w:ascii="Tahoma" w:hAnsi="Tahoma" w:cs="Tahoma"/>
          <w:bCs/>
          <w:sz w:val="22"/>
          <w:szCs w:val="22"/>
        </w:rPr>
        <w:t xml:space="preserve"> </w:t>
      </w:r>
      <w:r w:rsidRPr="00EF3692">
        <w:rPr>
          <w:rFonts w:ascii="Tahoma" w:hAnsi="Tahoma" w:cs="Tahoma"/>
          <w:bCs/>
          <w:sz w:val="22"/>
          <w:szCs w:val="22"/>
        </w:rPr>
        <w:t xml:space="preserve">törzsrészvény. Az Önkormányzat vagyona ebből 388 darab egyenként 50.000 Ft névértékű, összesen 19.400.000,- </w:t>
      </w:r>
      <w:proofErr w:type="gramStart"/>
      <w:r w:rsidRPr="00EF3692">
        <w:rPr>
          <w:rFonts w:ascii="Tahoma" w:hAnsi="Tahoma" w:cs="Tahoma"/>
          <w:bCs/>
          <w:sz w:val="22"/>
          <w:szCs w:val="22"/>
        </w:rPr>
        <w:t>forint értékű</w:t>
      </w:r>
      <w:proofErr w:type="gramEnd"/>
      <w:r w:rsidRPr="00EF3692">
        <w:rPr>
          <w:rFonts w:ascii="Tahoma" w:hAnsi="Tahoma" w:cs="Tahoma"/>
          <w:bCs/>
          <w:sz w:val="22"/>
          <w:szCs w:val="22"/>
        </w:rPr>
        <w:t xml:space="preserve"> törzsrészvényben testesül meg.</w:t>
      </w:r>
    </w:p>
    <w:p w14:paraId="2F139053" w14:textId="77777777" w:rsidR="004619D5" w:rsidRPr="00EF3692" w:rsidRDefault="004619D5" w:rsidP="00EF3692">
      <w:pPr>
        <w:jc w:val="both"/>
        <w:rPr>
          <w:rFonts w:ascii="Tahoma" w:hAnsi="Tahoma" w:cs="Tahoma"/>
          <w:bCs/>
          <w:sz w:val="22"/>
          <w:szCs w:val="22"/>
        </w:rPr>
      </w:pPr>
    </w:p>
    <w:p w14:paraId="1CAA9829" w14:textId="1C949952" w:rsidR="00EF3692" w:rsidRDefault="00EF3692" w:rsidP="00EF3692">
      <w:pPr>
        <w:jc w:val="both"/>
        <w:rPr>
          <w:rFonts w:ascii="Tahoma" w:hAnsi="Tahoma" w:cs="Tahoma"/>
          <w:bCs/>
          <w:sz w:val="22"/>
          <w:szCs w:val="22"/>
        </w:rPr>
      </w:pPr>
      <w:r w:rsidRPr="00EF3692">
        <w:rPr>
          <w:rFonts w:ascii="Tahoma" w:hAnsi="Tahoma" w:cs="Tahoma"/>
          <w:bCs/>
          <w:sz w:val="22"/>
          <w:szCs w:val="22"/>
        </w:rPr>
        <w:t>Veszprém Megyei Jogú Város Önkormányzata a Veszprém-Balaton 2023 Zrt. működése pénzügyi hátterének biztosításához kapcsolódóan több alkalommal kezdeményezett alaptőke emelést, majd ennek keretében részvény lejegyzést, mellyel hozzásegít</w:t>
      </w:r>
      <w:r>
        <w:rPr>
          <w:rFonts w:ascii="Tahoma" w:hAnsi="Tahoma" w:cs="Tahoma"/>
          <w:bCs/>
          <w:sz w:val="22"/>
          <w:szCs w:val="22"/>
        </w:rPr>
        <w:t>ette</w:t>
      </w:r>
      <w:r w:rsidRPr="00EF3692">
        <w:rPr>
          <w:rFonts w:ascii="Tahoma" w:hAnsi="Tahoma" w:cs="Tahoma"/>
          <w:bCs/>
          <w:sz w:val="22"/>
          <w:szCs w:val="22"/>
        </w:rPr>
        <w:t xml:space="preserve"> a gazdasági társaságát ahhoz, hogy a gazdálkodását megfelelő színvonalon folytassa. </w:t>
      </w:r>
    </w:p>
    <w:p w14:paraId="763A4249" w14:textId="77777777" w:rsidR="004619D5" w:rsidRPr="00EF3692" w:rsidRDefault="004619D5" w:rsidP="00EF3692">
      <w:pPr>
        <w:jc w:val="both"/>
        <w:rPr>
          <w:rFonts w:ascii="Tahoma" w:hAnsi="Tahoma" w:cs="Tahoma"/>
          <w:bCs/>
          <w:sz w:val="22"/>
          <w:szCs w:val="22"/>
        </w:rPr>
      </w:pPr>
    </w:p>
    <w:p w14:paraId="1363A0AF" w14:textId="0CBC6EF7" w:rsidR="00EF3692" w:rsidRDefault="00EF3692" w:rsidP="00EF3692">
      <w:pPr>
        <w:jc w:val="both"/>
        <w:rPr>
          <w:rFonts w:ascii="Tahoma" w:hAnsi="Tahoma" w:cs="Tahoma"/>
          <w:bCs/>
          <w:sz w:val="22"/>
          <w:szCs w:val="22"/>
        </w:rPr>
      </w:pPr>
      <w:r w:rsidRPr="00EF3692">
        <w:rPr>
          <w:rFonts w:ascii="Tahoma" w:hAnsi="Tahoma" w:cs="Tahoma"/>
          <w:bCs/>
          <w:sz w:val="22"/>
          <w:szCs w:val="22"/>
        </w:rPr>
        <w:t xml:space="preserve">Az Önkormányzat 2025. évi költségvetésében biztosított beruházási előirányzatra figyelemmel </w:t>
      </w:r>
      <w:r>
        <w:rPr>
          <w:rFonts w:ascii="Tahoma" w:hAnsi="Tahoma" w:cs="Tahoma"/>
          <w:bCs/>
          <w:sz w:val="22"/>
          <w:szCs w:val="22"/>
        </w:rPr>
        <w:t xml:space="preserve">a </w:t>
      </w:r>
      <w:r w:rsidR="004619D5">
        <w:rPr>
          <w:rFonts w:ascii="Tahoma" w:hAnsi="Tahoma" w:cs="Tahoma"/>
          <w:bCs/>
          <w:sz w:val="22"/>
          <w:szCs w:val="22"/>
        </w:rPr>
        <w:t xml:space="preserve">Közgyűlés </w:t>
      </w:r>
      <w:r w:rsidRPr="00EF3692">
        <w:rPr>
          <w:rFonts w:ascii="Tahoma" w:hAnsi="Tahoma" w:cs="Tahoma"/>
          <w:bCs/>
          <w:sz w:val="22"/>
          <w:szCs w:val="22"/>
        </w:rPr>
        <w:t>407/2025. (X.</w:t>
      </w:r>
      <w:r w:rsidR="004619D5">
        <w:rPr>
          <w:rFonts w:ascii="Tahoma" w:hAnsi="Tahoma" w:cs="Tahoma"/>
          <w:bCs/>
          <w:sz w:val="22"/>
          <w:szCs w:val="22"/>
        </w:rPr>
        <w:t xml:space="preserve"> </w:t>
      </w:r>
      <w:r w:rsidRPr="00EF3692">
        <w:rPr>
          <w:rFonts w:ascii="Tahoma" w:hAnsi="Tahoma" w:cs="Tahoma"/>
          <w:bCs/>
          <w:sz w:val="22"/>
          <w:szCs w:val="22"/>
        </w:rPr>
        <w:t>30.) határozata</w:t>
      </w:r>
      <w:r>
        <w:rPr>
          <w:rFonts w:ascii="Tahoma" w:hAnsi="Tahoma" w:cs="Tahoma"/>
          <w:bCs/>
          <w:sz w:val="22"/>
          <w:szCs w:val="22"/>
        </w:rPr>
        <w:t xml:space="preserve"> alapján a</w:t>
      </w:r>
      <w:r w:rsidRPr="00EF3692">
        <w:rPr>
          <w:rFonts w:ascii="Tahoma" w:hAnsi="Tahoma" w:cs="Tahoma"/>
          <w:bCs/>
          <w:sz w:val="22"/>
          <w:szCs w:val="22"/>
        </w:rPr>
        <w:t xml:space="preserve"> Veszprém-Balaton 2023 Zrt. alaptőkéjének megemeléséről és tőketartalékba helyezésről</w:t>
      </w:r>
      <w:r>
        <w:rPr>
          <w:rFonts w:ascii="Tahoma" w:hAnsi="Tahoma" w:cs="Tahoma"/>
          <w:bCs/>
          <w:sz w:val="22"/>
          <w:szCs w:val="22"/>
        </w:rPr>
        <w:t xml:space="preserve"> döntött</w:t>
      </w:r>
      <w:r w:rsidRPr="00EF3692">
        <w:rPr>
          <w:rFonts w:ascii="Tahoma" w:hAnsi="Tahoma" w:cs="Tahoma"/>
          <w:bCs/>
          <w:sz w:val="22"/>
          <w:szCs w:val="22"/>
        </w:rPr>
        <w:t xml:space="preserve"> 200 000 000 Ft kibocsátási érték</w:t>
      </w:r>
      <w:r>
        <w:rPr>
          <w:rFonts w:ascii="Tahoma" w:hAnsi="Tahoma" w:cs="Tahoma"/>
          <w:bCs/>
          <w:sz w:val="22"/>
          <w:szCs w:val="22"/>
        </w:rPr>
        <w:t xml:space="preserve">ben. </w:t>
      </w:r>
    </w:p>
    <w:p w14:paraId="02C0605A" w14:textId="77777777" w:rsidR="00EF3692" w:rsidRPr="005E23C0" w:rsidRDefault="00EF3692" w:rsidP="00EF3692">
      <w:pPr>
        <w:jc w:val="both"/>
        <w:rPr>
          <w:rFonts w:ascii="Tahoma" w:hAnsi="Tahoma" w:cs="Tahoma"/>
          <w:bCs/>
          <w:sz w:val="22"/>
          <w:szCs w:val="22"/>
        </w:rPr>
      </w:pPr>
    </w:p>
    <w:p w14:paraId="5FC93E65" w14:textId="77777777" w:rsidR="00B70B30" w:rsidRPr="005E23C0" w:rsidRDefault="00B70B30" w:rsidP="00E002F6">
      <w:pPr>
        <w:jc w:val="both"/>
        <w:rPr>
          <w:rFonts w:ascii="Tahoma" w:hAnsi="Tahoma" w:cs="Tahoma"/>
          <w:bCs/>
          <w:sz w:val="22"/>
          <w:szCs w:val="22"/>
        </w:rPr>
      </w:pPr>
    </w:p>
    <w:p w14:paraId="6AE912F8" w14:textId="6CCBA8AA" w:rsidR="00D54EB0" w:rsidRPr="006B6E9B" w:rsidRDefault="00D54EB0" w:rsidP="0045618F">
      <w:pPr>
        <w:spacing w:after="200"/>
        <w:jc w:val="both"/>
        <w:rPr>
          <w:rFonts w:ascii="Tahoma" w:hAnsi="Tahoma" w:cs="Tahoma"/>
          <w:b/>
        </w:rPr>
      </w:pPr>
      <w:r w:rsidRPr="006B6E9B">
        <w:rPr>
          <w:rFonts w:ascii="Tahoma" w:hAnsi="Tahoma" w:cs="Tahoma"/>
          <w:b/>
        </w:rPr>
        <w:t xml:space="preserve">IV. </w:t>
      </w:r>
      <w:r w:rsidR="00902CAB" w:rsidRPr="006B6E9B">
        <w:rPr>
          <w:rFonts w:ascii="Tahoma" w:hAnsi="Tahoma" w:cs="Tahoma"/>
          <w:b/>
        </w:rPr>
        <w:t>Ö</w:t>
      </w:r>
      <w:r w:rsidRPr="006B6E9B">
        <w:rPr>
          <w:rFonts w:ascii="Tahoma" w:hAnsi="Tahoma" w:cs="Tahoma"/>
          <w:b/>
        </w:rPr>
        <w:t>nkormányzati ingatlanok hasznosításának felülvizsgálata</w:t>
      </w:r>
    </w:p>
    <w:p w14:paraId="747F6090" w14:textId="77777777" w:rsidR="00D54EB0" w:rsidRPr="006B6E9B" w:rsidRDefault="00D54EB0" w:rsidP="00E002F6">
      <w:pPr>
        <w:jc w:val="both"/>
        <w:rPr>
          <w:rFonts w:ascii="Tahoma" w:hAnsi="Tahoma" w:cs="Tahoma"/>
          <w:bCs/>
          <w:sz w:val="22"/>
          <w:szCs w:val="22"/>
        </w:rPr>
      </w:pPr>
    </w:p>
    <w:p w14:paraId="5CCE1ECA" w14:textId="0EC6C14A" w:rsidR="00D54EB0" w:rsidRPr="006B6E9B" w:rsidRDefault="00D54EB0" w:rsidP="0045618F">
      <w:pPr>
        <w:contextualSpacing/>
        <w:jc w:val="both"/>
        <w:rPr>
          <w:rFonts w:ascii="Tahoma" w:hAnsi="Tahoma" w:cs="Tahoma"/>
          <w:bCs/>
          <w:sz w:val="22"/>
          <w:szCs w:val="22"/>
        </w:rPr>
      </w:pPr>
      <w:r w:rsidRPr="006B6E9B">
        <w:rPr>
          <w:rFonts w:ascii="Tahoma" w:hAnsi="Tahoma" w:cs="Tahoma"/>
          <w:bCs/>
          <w:sz w:val="22"/>
          <w:szCs w:val="22"/>
        </w:rPr>
        <w:t xml:space="preserve">Veszprém Megyei Jogú Város Önkormányzatának Közgyűlése </w:t>
      </w:r>
      <w:bookmarkStart w:id="9" w:name="_Hlk213071829"/>
      <w:r w:rsidRPr="006B6E9B">
        <w:rPr>
          <w:rFonts w:ascii="Tahoma" w:hAnsi="Tahoma" w:cs="Tahoma"/>
          <w:bCs/>
          <w:sz w:val="22"/>
          <w:szCs w:val="22"/>
        </w:rPr>
        <w:t>a 427/2024. (XII.</w:t>
      </w:r>
      <w:r w:rsidR="004619D5">
        <w:rPr>
          <w:rFonts w:ascii="Tahoma" w:hAnsi="Tahoma" w:cs="Tahoma"/>
          <w:bCs/>
          <w:sz w:val="22"/>
          <w:szCs w:val="22"/>
        </w:rPr>
        <w:t xml:space="preserve"> </w:t>
      </w:r>
      <w:r w:rsidRPr="006B6E9B">
        <w:rPr>
          <w:rFonts w:ascii="Tahoma" w:hAnsi="Tahoma" w:cs="Tahoma"/>
          <w:bCs/>
          <w:sz w:val="22"/>
          <w:szCs w:val="22"/>
        </w:rPr>
        <w:t xml:space="preserve">12.) határozatával </w:t>
      </w:r>
      <w:bookmarkEnd w:id="9"/>
      <w:r w:rsidRPr="006B6E9B">
        <w:rPr>
          <w:rFonts w:ascii="Tahoma" w:hAnsi="Tahoma" w:cs="Tahoma"/>
          <w:bCs/>
          <w:sz w:val="22"/>
          <w:szCs w:val="22"/>
        </w:rPr>
        <w:t xml:space="preserve">rögzítette, hogy a város területén lévő hasznosításon kívüli vagy nem kellő hatékonysággal hasznosított önkormányzati ingatlanok hasznosíthatóságát folyamatosan figyelemmel kíséri, az érintett ingatlan vonatkozásában egyedi határozatban dönt a hatáskörrel rendelkező szerv (Közgyűlés, Tulajdonosi Bizottság) a hasznosításról. </w:t>
      </w:r>
    </w:p>
    <w:p w14:paraId="159D2C89" w14:textId="77777777" w:rsidR="0045618F" w:rsidRPr="006B6E9B" w:rsidRDefault="0045618F" w:rsidP="0045618F">
      <w:pPr>
        <w:contextualSpacing/>
        <w:jc w:val="both"/>
        <w:rPr>
          <w:rFonts w:ascii="Tahoma" w:hAnsi="Tahoma" w:cs="Tahoma"/>
          <w:bCs/>
          <w:sz w:val="22"/>
          <w:szCs w:val="22"/>
        </w:rPr>
      </w:pPr>
    </w:p>
    <w:p w14:paraId="6A800837" w14:textId="79F1E1F6" w:rsidR="00D54EB0" w:rsidRPr="006B6E9B" w:rsidRDefault="00D54EB0" w:rsidP="0045618F">
      <w:pPr>
        <w:contextualSpacing/>
        <w:jc w:val="both"/>
        <w:rPr>
          <w:rFonts w:ascii="Tahoma" w:hAnsi="Tahoma" w:cs="Tahoma"/>
          <w:bCs/>
          <w:sz w:val="22"/>
          <w:szCs w:val="22"/>
        </w:rPr>
      </w:pPr>
      <w:r w:rsidRPr="006B6E9B">
        <w:rPr>
          <w:rFonts w:ascii="Tahoma" w:hAnsi="Tahoma" w:cs="Tahoma"/>
          <w:bCs/>
          <w:sz w:val="22"/>
          <w:szCs w:val="22"/>
        </w:rPr>
        <w:t>Veszprém Megyei Jogú Város Önkormányzatának Közgyűlése rögzítette, hogy egyedi határozatban dönt a hatáskörrel rendelkező szerv (Közgyűlés, Tulajdonosi Bizottság) az Önkormányzat nem forgalomképes vagyonának felülvizsgálatáról az ésszerű, a hasznosítást szolgáló telekalakítás érdekében.</w:t>
      </w:r>
    </w:p>
    <w:p w14:paraId="04B07F01" w14:textId="77777777" w:rsidR="0045618F" w:rsidRPr="006B6E9B" w:rsidRDefault="0045618F" w:rsidP="00D54EB0">
      <w:pPr>
        <w:jc w:val="both"/>
        <w:rPr>
          <w:rFonts w:ascii="Tahoma" w:hAnsi="Tahoma" w:cs="Tahoma"/>
          <w:bCs/>
          <w:sz w:val="22"/>
          <w:szCs w:val="22"/>
        </w:rPr>
      </w:pPr>
    </w:p>
    <w:p w14:paraId="7D4F0DB7" w14:textId="4F768F68" w:rsidR="00D54EB0" w:rsidRPr="006B6E9B" w:rsidRDefault="00D54EB0" w:rsidP="00D54EB0">
      <w:pPr>
        <w:jc w:val="both"/>
        <w:rPr>
          <w:rFonts w:ascii="Tahoma" w:hAnsi="Tahoma" w:cs="Tahoma"/>
          <w:bCs/>
          <w:sz w:val="22"/>
          <w:szCs w:val="22"/>
        </w:rPr>
      </w:pPr>
      <w:r w:rsidRPr="006B6E9B">
        <w:rPr>
          <w:rFonts w:ascii="Tahoma" w:hAnsi="Tahoma" w:cs="Tahoma"/>
          <w:bCs/>
          <w:sz w:val="22"/>
          <w:szCs w:val="22"/>
        </w:rPr>
        <w:t xml:space="preserve">Veszprém Megyei Jogú Város Önkormányzatának Közgyűlése </w:t>
      </w:r>
      <w:r w:rsidR="0045618F" w:rsidRPr="006B6E9B">
        <w:rPr>
          <w:rFonts w:ascii="Tahoma" w:hAnsi="Tahoma" w:cs="Tahoma"/>
          <w:bCs/>
          <w:sz w:val="22"/>
          <w:szCs w:val="22"/>
        </w:rPr>
        <w:t xml:space="preserve">továbbá </w:t>
      </w:r>
      <w:r w:rsidRPr="006B6E9B">
        <w:rPr>
          <w:rFonts w:ascii="Tahoma" w:hAnsi="Tahoma" w:cs="Tahoma"/>
          <w:bCs/>
          <w:sz w:val="22"/>
          <w:szCs w:val="22"/>
        </w:rPr>
        <w:t>kifejez</w:t>
      </w:r>
      <w:r w:rsidR="0045618F" w:rsidRPr="006B6E9B">
        <w:rPr>
          <w:rFonts w:ascii="Tahoma" w:hAnsi="Tahoma" w:cs="Tahoma"/>
          <w:bCs/>
          <w:sz w:val="22"/>
          <w:szCs w:val="22"/>
        </w:rPr>
        <w:t>te</w:t>
      </w:r>
      <w:r w:rsidRPr="006B6E9B">
        <w:rPr>
          <w:rFonts w:ascii="Tahoma" w:hAnsi="Tahoma" w:cs="Tahoma"/>
          <w:bCs/>
          <w:sz w:val="22"/>
          <w:szCs w:val="22"/>
        </w:rPr>
        <w:t xml:space="preserve"> azon szándékát, miszerint az </w:t>
      </w:r>
      <w:r w:rsidR="0045618F" w:rsidRPr="006B6E9B">
        <w:rPr>
          <w:rFonts w:ascii="Tahoma" w:hAnsi="Tahoma" w:cs="Tahoma"/>
          <w:bCs/>
          <w:sz w:val="22"/>
          <w:szCs w:val="22"/>
        </w:rPr>
        <w:t xml:space="preserve">érinett </w:t>
      </w:r>
      <w:r w:rsidRPr="006B6E9B">
        <w:rPr>
          <w:rFonts w:ascii="Tahoma" w:hAnsi="Tahoma" w:cs="Tahoma"/>
          <w:bCs/>
          <w:sz w:val="22"/>
          <w:szCs w:val="22"/>
        </w:rPr>
        <w:t>ingatlanokkal kapcsolatban részletes vizsgálat kerüljön lefolytatásra, és a vizsgálat eredményének függvényében a hatáskörrel rendelkező szerv (Közgyűlés, Tulajdonosi Bizottság) egyedi döntése alapján hasznosítási feltételek kerüljenek meghatározásra</w:t>
      </w:r>
      <w:r w:rsidR="00F5561F">
        <w:rPr>
          <w:rFonts w:ascii="Tahoma" w:hAnsi="Tahoma" w:cs="Tahoma"/>
          <w:bCs/>
          <w:sz w:val="22"/>
          <w:szCs w:val="22"/>
        </w:rPr>
        <w:t>.</w:t>
      </w:r>
    </w:p>
    <w:p w14:paraId="06020992" w14:textId="77777777" w:rsidR="00902CAB" w:rsidRPr="006B6E9B" w:rsidRDefault="00902CAB" w:rsidP="0045618F">
      <w:pPr>
        <w:contextualSpacing/>
        <w:jc w:val="both"/>
        <w:rPr>
          <w:rFonts w:ascii="Tahoma" w:hAnsi="Tahoma" w:cs="Tahoma"/>
          <w:bCs/>
          <w:sz w:val="22"/>
          <w:szCs w:val="22"/>
        </w:rPr>
      </w:pPr>
    </w:p>
    <w:p w14:paraId="07B68A32" w14:textId="2E948452" w:rsidR="00902CAB" w:rsidRDefault="006B6E9B" w:rsidP="00902CAB">
      <w:pPr>
        <w:jc w:val="both"/>
        <w:rPr>
          <w:rFonts w:ascii="Tahoma" w:hAnsi="Tahoma" w:cs="Tahoma"/>
          <w:bCs/>
          <w:sz w:val="22"/>
          <w:szCs w:val="22"/>
        </w:rPr>
      </w:pPr>
      <w:bookmarkStart w:id="10" w:name="_Hlk213071545"/>
      <w:r w:rsidRPr="006B6E9B">
        <w:rPr>
          <w:rFonts w:ascii="Tahoma" w:hAnsi="Tahoma" w:cs="Tahoma"/>
          <w:bCs/>
          <w:sz w:val="22"/>
          <w:szCs w:val="22"/>
        </w:rPr>
        <w:lastRenderedPageBreak/>
        <w:t xml:space="preserve">A határozatban foglalt </w:t>
      </w:r>
      <w:r w:rsidR="004619D5">
        <w:rPr>
          <w:rFonts w:ascii="Tahoma" w:hAnsi="Tahoma" w:cs="Tahoma"/>
          <w:bCs/>
          <w:sz w:val="22"/>
          <w:szCs w:val="22"/>
        </w:rPr>
        <w:t>ö</w:t>
      </w:r>
      <w:r w:rsidRPr="006B6E9B">
        <w:rPr>
          <w:rFonts w:ascii="Tahoma" w:hAnsi="Tahoma" w:cs="Tahoma"/>
          <w:bCs/>
          <w:sz w:val="22"/>
          <w:szCs w:val="22"/>
        </w:rPr>
        <w:t xml:space="preserve">nkormányzati </w:t>
      </w:r>
      <w:r w:rsidR="00902CAB" w:rsidRPr="006B6E9B">
        <w:rPr>
          <w:rFonts w:ascii="Tahoma" w:hAnsi="Tahoma" w:cs="Tahoma"/>
          <w:bCs/>
          <w:sz w:val="22"/>
          <w:szCs w:val="22"/>
        </w:rPr>
        <w:t>ingatlanok hasznosításának</w:t>
      </w:r>
      <w:r w:rsidRPr="006B6E9B">
        <w:rPr>
          <w:rFonts w:ascii="Tahoma" w:hAnsi="Tahoma" w:cs="Tahoma"/>
          <w:bCs/>
          <w:sz w:val="22"/>
          <w:szCs w:val="22"/>
        </w:rPr>
        <w:t xml:space="preserve"> felülvizsgálati eredményeit az alábbi táblázatban foglaltuk össze.</w:t>
      </w:r>
    </w:p>
    <w:p w14:paraId="5F6880C1" w14:textId="77777777" w:rsidR="006459B5" w:rsidRDefault="006459B5" w:rsidP="00902CAB">
      <w:pPr>
        <w:jc w:val="both"/>
        <w:rPr>
          <w:rFonts w:ascii="Tahoma" w:hAnsi="Tahoma" w:cs="Tahoma"/>
          <w:bCs/>
          <w:sz w:val="22"/>
          <w:szCs w:val="22"/>
        </w:rPr>
      </w:pPr>
    </w:p>
    <w:p w14:paraId="6D76166E" w14:textId="58F0DCCB" w:rsidR="006459B5" w:rsidRPr="0067137E" w:rsidRDefault="006459B5" w:rsidP="006459B5">
      <w:pPr>
        <w:jc w:val="both"/>
        <w:rPr>
          <w:rFonts w:ascii="Tahoma" w:hAnsi="Tahoma" w:cs="Tahoma"/>
          <w:bCs/>
          <w:sz w:val="22"/>
          <w:szCs w:val="22"/>
        </w:rPr>
      </w:pPr>
      <w:r w:rsidRPr="0067137E">
        <w:rPr>
          <w:rFonts w:ascii="Tahoma" w:hAnsi="Tahoma" w:cs="Tahoma"/>
          <w:bCs/>
          <w:sz w:val="22"/>
          <w:szCs w:val="22"/>
        </w:rPr>
        <w:t>5. számú táblázat:</w:t>
      </w:r>
    </w:p>
    <w:bookmarkEnd w:id="10"/>
    <w:p w14:paraId="0603845B" w14:textId="44DA59DF" w:rsidR="00902CAB" w:rsidRPr="0067137E" w:rsidRDefault="00902CAB" w:rsidP="0045618F">
      <w:pPr>
        <w:contextualSpacing/>
        <w:jc w:val="both"/>
        <w:rPr>
          <w:rFonts w:ascii="Tahoma" w:hAnsi="Tahoma" w:cs="Tahoma"/>
          <w:bCs/>
          <w:sz w:val="22"/>
          <w:szCs w:val="22"/>
        </w:rPr>
      </w:pPr>
    </w:p>
    <w:tbl>
      <w:tblPr>
        <w:tblW w:w="0" w:type="auto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"/>
        <w:gridCol w:w="1303"/>
        <w:gridCol w:w="2123"/>
        <w:gridCol w:w="1930"/>
        <w:gridCol w:w="1049"/>
        <w:gridCol w:w="2477"/>
      </w:tblGrid>
      <w:tr w:rsidR="00F5561F" w:rsidRPr="00F5561F" w14:paraId="05886DB5" w14:textId="77777777" w:rsidTr="004B5374">
        <w:trPr>
          <w:trHeight w:val="28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14E5A11B" w14:textId="43112633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  <w:lang w:eastAsia="en-US"/>
              </w:rPr>
            </w:pPr>
            <w:bookmarkStart w:id="11" w:name="_Hlk213139428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4862334B" w14:textId="77777777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b/>
                <w:bCs/>
                <w:sz w:val="20"/>
                <w:szCs w:val="20"/>
                <w:lang w:eastAsia="en-US"/>
              </w:rPr>
              <w:t>hrsz.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A569DB5" w14:textId="77777777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b/>
                <w:bCs/>
                <w:sz w:val="20"/>
                <w:szCs w:val="20"/>
                <w:lang w:eastAsia="en-US"/>
              </w:rPr>
              <w:t>cím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67ED244F" w14:textId="77777777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b/>
                <w:bCs/>
                <w:sz w:val="20"/>
                <w:szCs w:val="20"/>
                <w:lang w:eastAsia="en-US"/>
              </w:rPr>
              <w:t>jelleg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F96D8C6" w14:textId="77777777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b/>
                <w:bCs/>
                <w:sz w:val="20"/>
                <w:szCs w:val="20"/>
                <w:lang w:eastAsia="en-US"/>
              </w:rPr>
              <w:t>terület (nm)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906D0E3" w14:textId="77777777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b/>
                <w:bCs/>
                <w:sz w:val="20"/>
                <w:szCs w:val="20"/>
                <w:lang w:eastAsia="en-US"/>
              </w:rPr>
              <w:t>megjegyzés</w:t>
            </w:r>
          </w:p>
        </w:tc>
      </w:tr>
      <w:bookmarkEnd w:id="11"/>
      <w:tr w:rsidR="00F5561F" w:rsidRPr="00F5561F" w14:paraId="22F44E50" w14:textId="77777777" w:rsidTr="004619D5">
        <w:trPr>
          <w:trHeight w:val="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E5790A" w14:textId="77777777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16EFE" w14:textId="77777777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3043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BD17F" w14:textId="77777777" w:rsidR="006B6E9B" w:rsidRPr="00F5561F" w:rsidRDefault="006B6E9B" w:rsidP="006B6E9B">
            <w:pPr>
              <w:spacing w:after="16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Aradi Vértanúk u.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1036E" w14:textId="4C301133" w:rsidR="006B6E9B" w:rsidRPr="00F5561F" w:rsidRDefault="00EB3DB8" w:rsidP="006B6E9B">
            <w:pPr>
              <w:spacing w:after="16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volt transzformátor épület és telke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D440A" w14:textId="77777777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2 919    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80C80" w14:textId="1ED32E4D" w:rsidR="006B6E9B" w:rsidRPr="00F5561F" w:rsidRDefault="00EB3DB8" w:rsidP="006B6E9B">
            <w:pPr>
              <w:spacing w:after="16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értékesítésre kijelölve 2025.06.19.</w:t>
            </w:r>
            <w:r w:rsidR="004619D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, T</w:t>
            </w: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ulajdonosi </w:t>
            </w:r>
            <w:r w:rsidR="004619D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B</w:t>
            </w: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izottság</w:t>
            </w:r>
            <w:r w:rsidR="004619D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,</w:t>
            </w: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legalacsonyabb értékesítési ár: 70 millió Ft</w:t>
            </w:r>
          </w:p>
        </w:tc>
      </w:tr>
      <w:tr w:rsidR="00F5561F" w:rsidRPr="00F5561F" w14:paraId="77B9140A" w14:textId="77777777" w:rsidTr="004619D5">
        <w:trPr>
          <w:trHeight w:val="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D154D" w14:textId="77777777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6F454" w14:textId="77777777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4774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80DAF" w14:textId="77777777" w:rsidR="006B6E9B" w:rsidRPr="00F5561F" w:rsidRDefault="006B6E9B" w:rsidP="006B6E9B">
            <w:pPr>
              <w:spacing w:after="16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Vörösmarty tér 3.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1E43E" w14:textId="589AF9FD" w:rsidR="006B6E9B" w:rsidRPr="00F5561F" w:rsidRDefault="00EB3DB8" w:rsidP="006B6E9B">
            <w:pPr>
              <w:spacing w:after="16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okmányiroda használaton kívüli épülete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DE721" w14:textId="77777777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808    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8B734" w14:textId="48BBB0AC" w:rsidR="006B6E9B" w:rsidRPr="00F5561F" w:rsidRDefault="00EB3DB8" w:rsidP="006B6E9B">
            <w:pPr>
              <w:spacing w:after="16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bérletként történő hasznosítása </w:t>
            </w:r>
            <w:r w:rsidR="004619D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2026-ban várható</w:t>
            </w:r>
          </w:p>
        </w:tc>
      </w:tr>
      <w:tr w:rsidR="00F5561F" w:rsidRPr="00F5561F" w14:paraId="70A9A28D" w14:textId="77777777" w:rsidTr="004619D5">
        <w:trPr>
          <w:trHeight w:val="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42AEC9" w14:textId="77777777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7FEE8" w14:textId="77777777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0204/15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AD25D" w14:textId="77777777" w:rsidR="006B6E9B" w:rsidRPr="00F5561F" w:rsidRDefault="006B6E9B" w:rsidP="006B6E9B">
            <w:pPr>
              <w:spacing w:after="16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Kádárta major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50996" w14:textId="5E6927FB" w:rsidR="006B6E9B" w:rsidRPr="00F5561F" w:rsidRDefault="006B6E9B" w:rsidP="006B6E9B">
            <w:pPr>
              <w:spacing w:after="16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beépített terület</w:t>
            </w:r>
            <w:r w:rsidR="00EB3DB8"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, a major területén 21/42 tulajdoni hányad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D8421" w14:textId="77777777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103    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2A826" w14:textId="287BF412" w:rsidR="006B6E9B" w:rsidRPr="00F5561F" w:rsidRDefault="00EB3DB8" w:rsidP="006B6E9B">
            <w:pPr>
              <w:spacing w:after="16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értékesítésre kijelölése tervezett</w:t>
            </w:r>
          </w:p>
        </w:tc>
      </w:tr>
      <w:tr w:rsidR="00F5561F" w:rsidRPr="00F5561F" w14:paraId="50F15BD7" w14:textId="77777777" w:rsidTr="004619D5">
        <w:trPr>
          <w:trHeight w:val="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DF8E1" w14:textId="77777777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19ABF" w14:textId="77777777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9109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A3E0C" w14:textId="77777777" w:rsidR="006B6E9B" w:rsidRPr="00F5561F" w:rsidRDefault="006B6E9B" w:rsidP="006B6E9B">
            <w:pPr>
              <w:spacing w:after="16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Gyulafirátót, Zirci út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B0FBA" w14:textId="757AA0BF" w:rsidR="006B6E9B" w:rsidRPr="00F5561F" w:rsidRDefault="006B6E9B" w:rsidP="006B6E9B">
            <w:pPr>
              <w:spacing w:after="16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beépítetlen terület</w:t>
            </w:r>
            <w:r w:rsidR="00EB3DB8"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Vi-13 övezeti besorolású terület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72359" w14:textId="77777777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123    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3D077" w14:textId="2236D87F" w:rsidR="006B6E9B" w:rsidRPr="00F5561F" w:rsidRDefault="00EB3DB8" w:rsidP="006B6E9B">
            <w:pPr>
              <w:spacing w:after="16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értékesítésre kijelölve 2025.01.23.</w:t>
            </w:r>
            <w:r w:rsidR="004619D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, T</w:t>
            </w: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ulajdonosi </w:t>
            </w:r>
            <w:r w:rsidR="004619D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B</w:t>
            </w: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izottság</w:t>
            </w:r>
            <w:r w:rsidR="004619D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,</w:t>
            </w: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legalacsonyabb értékesítési ár: 1,4 millió Ft</w:t>
            </w:r>
          </w:p>
        </w:tc>
      </w:tr>
      <w:tr w:rsidR="00F5561F" w:rsidRPr="00F5561F" w14:paraId="72B44A5A" w14:textId="77777777" w:rsidTr="004619D5">
        <w:trPr>
          <w:trHeight w:val="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5D358C" w14:textId="77777777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C3205" w14:textId="77777777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9110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7D4D1" w14:textId="77777777" w:rsidR="006B6E9B" w:rsidRPr="00F5561F" w:rsidRDefault="006B6E9B" w:rsidP="006B6E9B">
            <w:pPr>
              <w:spacing w:after="16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Gyulafirátót, Zirci út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C1816" w14:textId="1EC37CD2" w:rsidR="006B6E9B" w:rsidRPr="00F5561F" w:rsidRDefault="006B6E9B" w:rsidP="006B6E9B">
            <w:pPr>
              <w:spacing w:after="16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beépítetlen terület</w:t>
            </w:r>
            <w:r w:rsidR="00EB3DB8"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Vi-13 övezeti besorolású terület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4ECBF" w14:textId="77777777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34    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B0C50" w14:textId="1F09C2E2" w:rsidR="006B6E9B" w:rsidRPr="00F5561F" w:rsidRDefault="00EB3DB8" w:rsidP="006B6E9B">
            <w:pPr>
              <w:spacing w:after="16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értékesítésre kijelölve 2025.01.23.</w:t>
            </w:r>
            <w:r w:rsidR="004619D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,</w:t>
            </w: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="004619D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</w:t>
            </w: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ulajdonosi </w:t>
            </w:r>
            <w:r w:rsidR="001B232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B</w:t>
            </w: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izottság</w:t>
            </w:r>
            <w:r w:rsidR="001B232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,</w:t>
            </w: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legalacsonyabb értékesítési ár: 1,5 millió Ft</w:t>
            </w:r>
          </w:p>
        </w:tc>
      </w:tr>
      <w:tr w:rsidR="00F5561F" w:rsidRPr="00F5561F" w14:paraId="267EE7EC" w14:textId="77777777" w:rsidTr="004619D5">
        <w:trPr>
          <w:trHeight w:val="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955C94" w14:textId="77777777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D533C" w14:textId="77777777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4273/51/A/25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F0ADA" w14:textId="77777777" w:rsidR="006B6E9B" w:rsidRPr="00F5561F" w:rsidRDefault="006B6E9B" w:rsidP="006B6E9B">
            <w:pPr>
              <w:spacing w:after="16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Veszprém, Ady u. 73/A.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00FCE" w14:textId="3E7B41A2" w:rsidR="006B6E9B" w:rsidRPr="00F5561F" w:rsidRDefault="006B6E9B" w:rsidP="006B6E9B">
            <w:pPr>
              <w:spacing w:after="16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üzlet</w:t>
            </w:r>
            <w:r w:rsidR="001B232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, </w:t>
            </w:r>
            <w:r w:rsidR="00EB3DB8"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posta volt épülete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B3E09" w14:textId="77777777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76    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79DD7" w14:textId="004E15BA" w:rsidR="006B6E9B" w:rsidRPr="00F5561F" w:rsidRDefault="00EB3DB8" w:rsidP="006B6E9B">
            <w:pPr>
              <w:spacing w:after="16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értékesítésre kijelölve 2025.06.19.</w:t>
            </w:r>
            <w:r w:rsidR="001B232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,</w:t>
            </w: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="001B232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</w:t>
            </w: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ulajdonosi </w:t>
            </w:r>
            <w:r w:rsidR="001B232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B</w:t>
            </w: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izottság</w:t>
            </w:r>
            <w:r w:rsidR="001B232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,</w:t>
            </w: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legalacsonyabb értékesítési ár: 49,5 millió Ft</w:t>
            </w:r>
          </w:p>
        </w:tc>
      </w:tr>
      <w:tr w:rsidR="00F5561F" w:rsidRPr="00F5561F" w14:paraId="49FB10A0" w14:textId="77777777" w:rsidTr="004619D5">
        <w:trPr>
          <w:trHeight w:val="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93FFA8" w14:textId="77777777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3AF57" w14:textId="77777777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4929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A783F" w14:textId="77777777" w:rsidR="006B6E9B" w:rsidRPr="00F5561F" w:rsidRDefault="006B6E9B" w:rsidP="006B6E9B">
            <w:pPr>
              <w:spacing w:after="16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Kisállomás utca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3C1FC" w14:textId="1A752EF2" w:rsidR="006B6E9B" w:rsidRPr="00F5561F" w:rsidRDefault="006B6E9B" w:rsidP="006B6E9B">
            <w:pPr>
              <w:spacing w:after="16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beépített </w:t>
            </w:r>
            <w:r w:rsidR="00F5561F"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közlekedés</w:t>
            </w:r>
            <w:r w:rsid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i </w:t>
            </w: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terület</w:t>
            </w:r>
            <w:r w:rsidR="00EB3DB8"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bérlettel terhelt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5A3C3" w14:textId="77777777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137    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820B2" w14:textId="36255868" w:rsidR="006B6E9B" w:rsidRPr="00F5561F" w:rsidRDefault="00EB3DB8" w:rsidP="006B6E9B">
            <w:pPr>
              <w:spacing w:after="16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értékesítésre kijelölése nem javasolt</w:t>
            </w:r>
          </w:p>
        </w:tc>
      </w:tr>
      <w:tr w:rsidR="00F5561F" w:rsidRPr="00F5561F" w14:paraId="51ED56DC" w14:textId="77777777" w:rsidTr="004619D5">
        <w:trPr>
          <w:trHeight w:val="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B9B14D" w14:textId="77777777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3B562" w14:textId="77777777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4273/105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24558" w14:textId="77777777" w:rsidR="006B6E9B" w:rsidRPr="00F5561F" w:rsidRDefault="006B6E9B" w:rsidP="006B6E9B">
            <w:pPr>
              <w:spacing w:after="16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Cholnoky u. 11.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B2B85" w14:textId="4EA43266" w:rsidR="006B6E9B" w:rsidRPr="00F5561F" w:rsidRDefault="006B6E9B" w:rsidP="006B6E9B">
            <w:pPr>
              <w:spacing w:after="16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üzlet</w:t>
            </w:r>
            <w:r w:rsidR="001B232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,</w:t>
            </w:r>
            <w:r w:rsidR="00EB3DB8"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polgárőrség volt épülete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14C09" w14:textId="77777777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 94    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EAA05" w14:textId="433AE0DE" w:rsidR="006B6E9B" w:rsidRPr="00F5561F" w:rsidRDefault="00EB3DB8" w:rsidP="006B6E9B">
            <w:pPr>
              <w:spacing w:after="16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értékesítésre kijelölve 2025.06.19.</w:t>
            </w:r>
            <w:r w:rsidR="001B232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,</w:t>
            </w: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="001B232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</w:t>
            </w: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ulajdonosi </w:t>
            </w:r>
            <w:r w:rsidR="001B232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B</w:t>
            </w: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izottság legalacsonyabb értékesítési ár: 35 millió Ft</w:t>
            </w:r>
          </w:p>
        </w:tc>
      </w:tr>
      <w:tr w:rsidR="00F5561F" w:rsidRPr="00F5561F" w14:paraId="380CB900" w14:textId="77777777" w:rsidTr="004619D5">
        <w:trPr>
          <w:trHeight w:val="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2A15FC" w14:textId="77777777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A12C6" w14:textId="77777777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4948/1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F38E7" w14:textId="77777777" w:rsidR="006B6E9B" w:rsidRPr="00F5561F" w:rsidRDefault="006B6E9B" w:rsidP="006B6E9B">
            <w:pPr>
              <w:spacing w:after="16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Cserepes utca volt lőtér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6E33D" w14:textId="36D95C49" w:rsidR="006B6E9B" w:rsidRPr="00F5561F" w:rsidRDefault="006B6E9B" w:rsidP="006B6E9B">
            <w:pPr>
              <w:spacing w:after="16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kivett lőtér</w:t>
            </w:r>
            <w:r w:rsidR="00EB3DB8"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használaton kívüli lőtér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87599" w14:textId="77777777" w:rsidR="006B6E9B" w:rsidRPr="00F5561F" w:rsidRDefault="006B6E9B" w:rsidP="006B6E9B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5 361    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451A3" w14:textId="1C158A6F" w:rsidR="006B6E9B" w:rsidRPr="00F5561F" w:rsidRDefault="00EB3DB8" w:rsidP="006B6E9B">
            <w:pPr>
              <w:spacing w:after="160" w:line="259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értékesítésre kijelölése nem javasolt</w:t>
            </w:r>
          </w:p>
        </w:tc>
      </w:tr>
    </w:tbl>
    <w:p w14:paraId="6D34BA31" w14:textId="77777777" w:rsidR="006B6E9B" w:rsidRDefault="006B6E9B" w:rsidP="0045618F">
      <w:pPr>
        <w:contextualSpacing/>
        <w:jc w:val="both"/>
        <w:rPr>
          <w:rFonts w:ascii="Tahoma" w:hAnsi="Tahoma" w:cs="Tahoma"/>
          <w:bCs/>
          <w:sz w:val="22"/>
          <w:szCs w:val="22"/>
          <w:highlight w:val="yellow"/>
        </w:rPr>
      </w:pPr>
    </w:p>
    <w:p w14:paraId="66931ECE" w14:textId="77777777" w:rsidR="006B6E9B" w:rsidRPr="006B6E9B" w:rsidRDefault="006B6E9B" w:rsidP="006B6E9B">
      <w:pPr>
        <w:contextualSpacing/>
        <w:jc w:val="both"/>
        <w:rPr>
          <w:rFonts w:ascii="Tahoma" w:hAnsi="Tahoma" w:cs="Tahoma"/>
          <w:bCs/>
          <w:sz w:val="22"/>
          <w:szCs w:val="22"/>
        </w:rPr>
      </w:pPr>
    </w:p>
    <w:p w14:paraId="1AD355B5" w14:textId="13C5A561" w:rsidR="006B6E9B" w:rsidRPr="006B6E9B" w:rsidRDefault="006B6E9B" w:rsidP="006B6E9B">
      <w:pPr>
        <w:contextualSpacing/>
        <w:jc w:val="both"/>
        <w:rPr>
          <w:rFonts w:ascii="Tahoma" w:hAnsi="Tahoma" w:cs="Tahoma"/>
          <w:bCs/>
          <w:sz w:val="22"/>
          <w:szCs w:val="22"/>
        </w:rPr>
      </w:pPr>
      <w:r w:rsidRPr="006B6E9B">
        <w:rPr>
          <w:rFonts w:ascii="Tahoma" w:hAnsi="Tahoma" w:cs="Tahoma"/>
          <w:bCs/>
          <w:sz w:val="22"/>
          <w:szCs w:val="22"/>
        </w:rPr>
        <w:t>Veszprém Megyei Jogú Város Önkormányzatának Közgyűlése a 427/2024. (XII.</w:t>
      </w:r>
      <w:r w:rsidR="001B232B">
        <w:rPr>
          <w:rFonts w:ascii="Tahoma" w:hAnsi="Tahoma" w:cs="Tahoma"/>
          <w:bCs/>
          <w:sz w:val="22"/>
          <w:szCs w:val="22"/>
        </w:rPr>
        <w:t xml:space="preserve"> </w:t>
      </w:r>
      <w:r w:rsidRPr="006B6E9B">
        <w:rPr>
          <w:rFonts w:ascii="Tahoma" w:hAnsi="Tahoma" w:cs="Tahoma"/>
          <w:bCs/>
          <w:sz w:val="22"/>
          <w:szCs w:val="22"/>
        </w:rPr>
        <w:t xml:space="preserve">12.) határozatával rögzítette, hogy az esetlegesen beérkező vásárlási szándékok és vételi ajánlatok vonatkozásában a </w:t>
      </w:r>
      <w:bookmarkStart w:id="12" w:name="_Hlk213071559"/>
      <w:r w:rsidRPr="006B6E9B">
        <w:rPr>
          <w:rFonts w:ascii="Tahoma" w:hAnsi="Tahoma" w:cs="Tahoma"/>
          <w:bCs/>
          <w:sz w:val="22"/>
          <w:szCs w:val="22"/>
        </w:rPr>
        <w:t xml:space="preserve">célszerűségi és gazdaságossági </w:t>
      </w:r>
      <w:bookmarkEnd w:id="12"/>
      <w:r w:rsidRPr="006B6E9B">
        <w:rPr>
          <w:rFonts w:ascii="Tahoma" w:hAnsi="Tahoma" w:cs="Tahoma"/>
          <w:bCs/>
          <w:sz w:val="22"/>
          <w:szCs w:val="22"/>
        </w:rPr>
        <w:t xml:space="preserve">szempontok alapján a hatáskörrel rendelkező szerv (Közgyűlés, Tulajdonosi Bizottság) hozza meg a döntését. </w:t>
      </w:r>
    </w:p>
    <w:p w14:paraId="605E0E8B" w14:textId="77777777" w:rsidR="006B6E9B" w:rsidRPr="006B6E9B" w:rsidRDefault="006B6E9B" w:rsidP="006B6E9B">
      <w:pPr>
        <w:contextualSpacing/>
        <w:jc w:val="both"/>
        <w:rPr>
          <w:rFonts w:ascii="Tahoma" w:hAnsi="Tahoma" w:cs="Tahoma"/>
          <w:bCs/>
          <w:sz w:val="22"/>
          <w:szCs w:val="22"/>
        </w:rPr>
      </w:pPr>
    </w:p>
    <w:p w14:paraId="2087D10D" w14:textId="09B2A5A4" w:rsidR="006B6E9B" w:rsidRPr="006B6E9B" w:rsidRDefault="006B6E9B" w:rsidP="006B6E9B">
      <w:pPr>
        <w:jc w:val="both"/>
        <w:rPr>
          <w:rFonts w:ascii="Tahoma" w:hAnsi="Tahoma" w:cs="Tahoma"/>
          <w:bCs/>
          <w:sz w:val="22"/>
          <w:szCs w:val="22"/>
        </w:rPr>
      </w:pPr>
      <w:r w:rsidRPr="006B6E9B">
        <w:rPr>
          <w:rFonts w:ascii="Tahoma" w:hAnsi="Tahoma" w:cs="Tahoma"/>
          <w:bCs/>
          <w:sz w:val="22"/>
          <w:szCs w:val="22"/>
        </w:rPr>
        <w:t xml:space="preserve">A határozatban foglalt </w:t>
      </w:r>
      <w:r w:rsidR="001B232B">
        <w:rPr>
          <w:rFonts w:ascii="Tahoma" w:hAnsi="Tahoma" w:cs="Tahoma"/>
          <w:bCs/>
          <w:sz w:val="22"/>
          <w:szCs w:val="22"/>
        </w:rPr>
        <w:t>ö</w:t>
      </w:r>
      <w:r w:rsidRPr="006B6E9B">
        <w:rPr>
          <w:rFonts w:ascii="Tahoma" w:hAnsi="Tahoma" w:cs="Tahoma"/>
          <w:bCs/>
          <w:sz w:val="22"/>
          <w:szCs w:val="22"/>
        </w:rPr>
        <w:t>nkormányzati ingatlanok célszerűségi és gazdaságossági vizsgálatainak az eredményeit az alábbi táblázatban foglaltuk össze.</w:t>
      </w:r>
    </w:p>
    <w:p w14:paraId="36F0BABF" w14:textId="77777777" w:rsidR="006B6E9B" w:rsidRPr="0067137E" w:rsidRDefault="006B6E9B" w:rsidP="006B6E9B">
      <w:pPr>
        <w:jc w:val="both"/>
        <w:rPr>
          <w:rFonts w:ascii="Tahoma" w:hAnsi="Tahoma" w:cs="Tahoma"/>
          <w:bCs/>
          <w:sz w:val="22"/>
          <w:szCs w:val="22"/>
        </w:rPr>
      </w:pPr>
    </w:p>
    <w:p w14:paraId="1D2938EA" w14:textId="258938CE" w:rsidR="006459B5" w:rsidRPr="0067137E" w:rsidRDefault="006459B5" w:rsidP="006B6E9B">
      <w:pPr>
        <w:jc w:val="both"/>
        <w:rPr>
          <w:rFonts w:ascii="Tahoma" w:hAnsi="Tahoma" w:cs="Tahoma"/>
          <w:bCs/>
          <w:sz w:val="22"/>
          <w:szCs w:val="22"/>
        </w:rPr>
      </w:pPr>
      <w:r w:rsidRPr="0067137E">
        <w:rPr>
          <w:rFonts w:ascii="Tahoma" w:hAnsi="Tahoma" w:cs="Tahoma"/>
          <w:bCs/>
          <w:sz w:val="22"/>
          <w:szCs w:val="22"/>
        </w:rPr>
        <w:t>6.</w:t>
      </w:r>
      <w:r w:rsidR="001B232B">
        <w:rPr>
          <w:rFonts w:ascii="Tahoma" w:hAnsi="Tahoma" w:cs="Tahoma"/>
          <w:bCs/>
          <w:sz w:val="22"/>
          <w:szCs w:val="22"/>
        </w:rPr>
        <w:t xml:space="preserve"> </w:t>
      </w:r>
      <w:r w:rsidRPr="0067137E">
        <w:rPr>
          <w:rFonts w:ascii="Tahoma" w:hAnsi="Tahoma" w:cs="Tahoma"/>
          <w:bCs/>
          <w:sz w:val="22"/>
          <w:szCs w:val="22"/>
        </w:rPr>
        <w:t>sz. táblázat:</w:t>
      </w:r>
    </w:p>
    <w:p w14:paraId="17AC99DA" w14:textId="77777777" w:rsidR="006459B5" w:rsidRPr="0067137E" w:rsidRDefault="006459B5" w:rsidP="006B6E9B">
      <w:pPr>
        <w:jc w:val="both"/>
        <w:rPr>
          <w:rFonts w:ascii="Tahoma" w:hAnsi="Tahoma" w:cs="Tahoma"/>
          <w:bCs/>
          <w:sz w:val="22"/>
          <w:szCs w:val="22"/>
        </w:rPr>
      </w:pPr>
    </w:p>
    <w:tbl>
      <w:tblPr>
        <w:tblStyle w:val="Rcsostblzat"/>
        <w:tblW w:w="0" w:type="auto"/>
        <w:tblInd w:w="421" w:type="dxa"/>
        <w:tblLook w:val="04A0" w:firstRow="1" w:lastRow="0" w:firstColumn="1" w:lastColumn="0" w:noHBand="0" w:noVBand="1"/>
      </w:tblPr>
      <w:tblGrid>
        <w:gridCol w:w="386"/>
        <w:gridCol w:w="1548"/>
        <w:gridCol w:w="1403"/>
        <w:gridCol w:w="1520"/>
        <w:gridCol w:w="988"/>
        <w:gridCol w:w="3130"/>
      </w:tblGrid>
      <w:tr w:rsidR="00F5561F" w:rsidRPr="00F5561F" w14:paraId="2F755380" w14:textId="77777777" w:rsidTr="004B5374">
        <w:tc>
          <w:tcPr>
            <w:tcW w:w="386" w:type="dxa"/>
            <w:shd w:val="clear" w:color="auto" w:fill="D0CECE" w:themeFill="background2" w:themeFillShade="E6"/>
          </w:tcPr>
          <w:p w14:paraId="47C91573" w14:textId="77777777" w:rsidR="00EB3DB8" w:rsidRPr="00F5561F" w:rsidRDefault="00EB3DB8" w:rsidP="00EB3DB8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848AB3B" w14:textId="699A50EF" w:rsidR="00EB3DB8" w:rsidRPr="00F5561F" w:rsidRDefault="00EB3DB8" w:rsidP="00EB3DB8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b/>
                <w:bCs/>
                <w:sz w:val="20"/>
                <w:szCs w:val="20"/>
                <w:lang w:eastAsia="en-US"/>
              </w:rPr>
              <w:t>hrsz.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bottom"/>
          </w:tcPr>
          <w:p w14:paraId="66DDB0BA" w14:textId="601FE18D" w:rsidR="00EB3DB8" w:rsidRPr="00F5561F" w:rsidRDefault="00EB3DB8" w:rsidP="00EB3DB8">
            <w:pPr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b/>
                <w:bCs/>
                <w:sz w:val="20"/>
                <w:szCs w:val="20"/>
                <w:lang w:eastAsia="en-US"/>
              </w:rPr>
              <w:t>cím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bottom"/>
          </w:tcPr>
          <w:p w14:paraId="61D1B58C" w14:textId="421CBA4F" w:rsidR="00EB3DB8" w:rsidRPr="00F5561F" w:rsidRDefault="00EB3DB8" w:rsidP="00EB3DB8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b/>
                <w:bCs/>
                <w:sz w:val="20"/>
                <w:szCs w:val="20"/>
                <w:lang w:eastAsia="en-US"/>
              </w:rPr>
              <w:t>jelleg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bottom"/>
          </w:tcPr>
          <w:p w14:paraId="452E9DDE" w14:textId="63244B9A" w:rsidR="00EB3DB8" w:rsidRPr="00F5561F" w:rsidRDefault="00EB3DB8" w:rsidP="00EB3DB8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b/>
                <w:bCs/>
                <w:sz w:val="20"/>
                <w:szCs w:val="20"/>
                <w:lang w:eastAsia="en-US"/>
              </w:rPr>
              <w:t>terület (nm)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bottom"/>
          </w:tcPr>
          <w:p w14:paraId="286B179B" w14:textId="02754A29" w:rsidR="00EB3DB8" w:rsidRPr="00F5561F" w:rsidRDefault="00EB3DB8" w:rsidP="00EB3DB8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b/>
                <w:bCs/>
                <w:sz w:val="20"/>
                <w:szCs w:val="20"/>
                <w:lang w:eastAsia="en-US"/>
              </w:rPr>
              <w:t>megjegyzés</w:t>
            </w:r>
          </w:p>
        </w:tc>
      </w:tr>
      <w:tr w:rsidR="00F5561F" w:rsidRPr="00F5561F" w14:paraId="579268B7" w14:textId="77777777" w:rsidTr="00EB3DB8">
        <w:tc>
          <w:tcPr>
            <w:tcW w:w="386" w:type="dxa"/>
          </w:tcPr>
          <w:p w14:paraId="093BE52F" w14:textId="77777777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0" w:type="auto"/>
          </w:tcPr>
          <w:p w14:paraId="59D4043B" w14:textId="77777777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1952/17</w:t>
            </w:r>
          </w:p>
        </w:tc>
        <w:tc>
          <w:tcPr>
            <w:tcW w:w="0" w:type="auto"/>
          </w:tcPr>
          <w:p w14:paraId="35B32234" w14:textId="77777777" w:rsidR="006B6E9B" w:rsidRPr="00F5561F" w:rsidRDefault="006B6E9B" w:rsidP="006B6E9B">
            <w:pPr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Kistó utca (Unilever mellett)</w:t>
            </w:r>
          </w:p>
        </w:tc>
        <w:tc>
          <w:tcPr>
            <w:tcW w:w="0" w:type="auto"/>
          </w:tcPr>
          <w:p w14:paraId="3433E568" w14:textId="77777777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kivett telephely</w:t>
            </w:r>
          </w:p>
        </w:tc>
        <w:tc>
          <w:tcPr>
            <w:tcW w:w="0" w:type="auto"/>
          </w:tcPr>
          <w:p w14:paraId="45F48951" w14:textId="77777777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1657</w:t>
            </w:r>
          </w:p>
        </w:tc>
        <w:tc>
          <w:tcPr>
            <w:tcW w:w="0" w:type="auto"/>
          </w:tcPr>
          <w:p w14:paraId="5144CDA7" w14:textId="7CBE2A91" w:rsidR="006B6E9B" w:rsidRPr="00F5561F" w:rsidRDefault="00EB3DB8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tulajdonjog rendezés alatt</w:t>
            </w:r>
            <w:r w:rsidR="00F5561F"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, értékesítése 2026-ban tervezett</w:t>
            </w:r>
          </w:p>
        </w:tc>
      </w:tr>
      <w:tr w:rsidR="00F5561F" w:rsidRPr="00F5561F" w14:paraId="4AFEC276" w14:textId="77777777" w:rsidTr="00EB3DB8">
        <w:tc>
          <w:tcPr>
            <w:tcW w:w="386" w:type="dxa"/>
          </w:tcPr>
          <w:p w14:paraId="26C827A6" w14:textId="77777777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0" w:type="auto"/>
          </w:tcPr>
          <w:p w14:paraId="67A5C5BF" w14:textId="77777777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3057/74/A/145</w:t>
            </w:r>
          </w:p>
        </w:tc>
        <w:tc>
          <w:tcPr>
            <w:tcW w:w="0" w:type="auto"/>
          </w:tcPr>
          <w:p w14:paraId="5DA0244D" w14:textId="69DA6328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Damjanich </w:t>
            </w:r>
            <w:r w:rsidR="001B232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J. u. </w:t>
            </w: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7/B. </w:t>
            </w:r>
            <w:proofErr w:type="spellStart"/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Fszt</w:t>
            </w:r>
            <w:proofErr w:type="spellEnd"/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/7.</w:t>
            </w:r>
          </w:p>
        </w:tc>
        <w:tc>
          <w:tcPr>
            <w:tcW w:w="0" w:type="auto"/>
          </w:tcPr>
          <w:p w14:paraId="639D77BC" w14:textId="77777777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üzlethelyiség</w:t>
            </w:r>
          </w:p>
        </w:tc>
        <w:tc>
          <w:tcPr>
            <w:tcW w:w="0" w:type="auto"/>
          </w:tcPr>
          <w:p w14:paraId="2B07585E" w14:textId="77777777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0" w:type="auto"/>
          </w:tcPr>
          <w:p w14:paraId="53D5C54B" w14:textId="6EEF5E26" w:rsidR="006B6E9B" w:rsidRPr="00F5561F" w:rsidRDefault="00EB3DB8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hasznosításra kijelölése tervezett</w:t>
            </w:r>
          </w:p>
        </w:tc>
      </w:tr>
      <w:tr w:rsidR="00F5561F" w:rsidRPr="00F5561F" w14:paraId="5D408624" w14:textId="77777777" w:rsidTr="00EB3DB8">
        <w:tc>
          <w:tcPr>
            <w:tcW w:w="386" w:type="dxa"/>
          </w:tcPr>
          <w:p w14:paraId="2A76F825" w14:textId="77777777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0" w:type="auto"/>
          </w:tcPr>
          <w:p w14:paraId="311A5DA9" w14:textId="77777777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877</w:t>
            </w:r>
          </w:p>
        </w:tc>
        <w:tc>
          <w:tcPr>
            <w:tcW w:w="0" w:type="auto"/>
          </w:tcPr>
          <w:p w14:paraId="5B87FB67" w14:textId="73170057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Szent</w:t>
            </w:r>
            <w:r w:rsidR="001B232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István utca 7.</w:t>
            </w:r>
          </w:p>
        </w:tc>
        <w:tc>
          <w:tcPr>
            <w:tcW w:w="0" w:type="auto"/>
          </w:tcPr>
          <w:p w14:paraId="0AC4848C" w14:textId="77777777" w:rsidR="006B6E9B" w:rsidRPr="00F5561F" w:rsidRDefault="006B6E9B" w:rsidP="006B6E9B">
            <w:pPr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kivett múzeum és udvar</w:t>
            </w:r>
          </w:p>
        </w:tc>
        <w:tc>
          <w:tcPr>
            <w:tcW w:w="0" w:type="auto"/>
          </w:tcPr>
          <w:p w14:paraId="301DB871" w14:textId="77777777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480</w:t>
            </w:r>
          </w:p>
        </w:tc>
        <w:tc>
          <w:tcPr>
            <w:tcW w:w="0" w:type="auto"/>
          </w:tcPr>
          <w:p w14:paraId="7F3988C2" w14:textId="58B90557" w:rsidR="006B6E9B" w:rsidRPr="00F5561F" w:rsidRDefault="006B6E9B" w:rsidP="006B6E9B">
            <w:pPr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volt Magyar Építőipari Múzeum</w:t>
            </w:r>
            <w:r w:rsidR="00EB3DB8"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, értékesítése nem tervezett</w:t>
            </w:r>
          </w:p>
        </w:tc>
      </w:tr>
      <w:tr w:rsidR="00F5561F" w:rsidRPr="00F5561F" w14:paraId="7AC0991D" w14:textId="77777777" w:rsidTr="00EB3DB8">
        <w:tc>
          <w:tcPr>
            <w:tcW w:w="386" w:type="dxa"/>
          </w:tcPr>
          <w:p w14:paraId="0F670319" w14:textId="77777777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0" w:type="auto"/>
          </w:tcPr>
          <w:p w14:paraId="7DEE9EC2" w14:textId="77777777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0432/2</w:t>
            </w:r>
          </w:p>
        </w:tc>
        <w:tc>
          <w:tcPr>
            <w:tcW w:w="0" w:type="auto"/>
          </w:tcPr>
          <w:p w14:paraId="464D8006" w14:textId="5474EC96" w:rsidR="006B6E9B" w:rsidRPr="00F5561F" w:rsidRDefault="006B6E9B" w:rsidP="006B6E9B">
            <w:pPr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Déli </w:t>
            </w:r>
            <w:proofErr w:type="spellStart"/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Intézm</w:t>
            </w:r>
            <w:proofErr w:type="spellEnd"/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.</w:t>
            </w:r>
            <w:r w:rsidR="001B232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központ GKSZ</w:t>
            </w:r>
          </w:p>
        </w:tc>
        <w:tc>
          <w:tcPr>
            <w:tcW w:w="0" w:type="auto"/>
          </w:tcPr>
          <w:p w14:paraId="26353049" w14:textId="77777777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kivett közút</w:t>
            </w:r>
          </w:p>
        </w:tc>
        <w:tc>
          <w:tcPr>
            <w:tcW w:w="0" w:type="auto"/>
          </w:tcPr>
          <w:p w14:paraId="618A2CA5" w14:textId="77777777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795</w:t>
            </w:r>
          </w:p>
        </w:tc>
        <w:tc>
          <w:tcPr>
            <w:tcW w:w="0" w:type="auto"/>
          </w:tcPr>
          <w:p w14:paraId="0CDFA4C4" w14:textId="1EC58FC5" w:rsidR="006B6E9B" w:rsidRPr="00F5561F" w:rsidRDefault="00EB3DB8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értékesítésre kijelölése folyamatban</w:t>
            </w:r>
          </w:p>
        </w:tc>
      </w:tr>
      <w:tr w:rsidR="00F5561F" w:rsidRPr="00F5561F" w14:paraId="38C4F565" w14:textId="77777777" w:rsidTr="00EB3DB8">
        <w:tc>
          <w:tcPr>
            <w:tcW w:w="386" w:type="dxa"/>
          </w:tcPr>
          <w:p w14:paraId="49BEEA4A" w14:textId="77777777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0" w:type="auto"/>
          </w:tcPr>
          <w:p w14:paraId="3C2F035B" w14:textId="77777777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4016/2</w:t>
            </w:r>
          </w:p>
        </w:tc>
        <w:tc>
          <w:tcPr>
            <w:tcW w:w="0" w:type="auto"/>
          </w:tcPr>
          <w:p w14:paraId="72A0982A" w14:textId="77777777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Nap utca</w:t>
            </w:r>
          </w:p>
        </w:tc>
        <w:tc>
          <w:tcPr>
            <w:tcW w:w="0" w:type="auto"/>
          </w:tcPr>
          <w:p w14:paraId="15FA88DC" w14:textId="77777777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kivett helyi közút</w:t>
            </w:r>
          </w:p>
        </w:tc>
        <w:tc>
          <w:tcPr>
            <w:tcW w:w="0" w:type="auto"/>
          </w:tcPr>
          <w:p w14:paraId="47610E4D" w14:textId="77777777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3359</w:t>
            </w:r>
          </w:p>
        </w:tc>
        <w:tc>
          <w:tcPr>
            <w:tcW w:w="0" w:type="auto"/>
          </w:tcPr>
          <w:p w14:paraId="716E8A85" w14:textId="6D593D7E" w:rsidR="006B6E9B" w:rsidRPr="00F5561F" w:rsidRDefault="00EB3DB8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értékesítésre kijelölése nem tervezett</w:t>
            </w:r>
          </w:p>
        </w:tc>
      </w:tr>
      <w:tr w:rsidR="00F5561F" w:rsidRPr="00F5561F" w14:paraId="389DCD4F" w14:textId="77777777" w:rsidTr="00EB3DB8">
        <w:tc>
          <w:tcPr>
            <w:tcW w:w="386" w:type="dxa"/>
          </w:tcPr>
          <w:p w14:paraId="7706FEE0" w14:textId="77777777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0" w:type="auto"/>
          </w:tcPr>
          <w:p w14:paraId="626CD9C0" w14:textId="77777777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9194/1</w:t>
            </w:r>
          </w:p>
        </w:tc>
        <w:tc>
          <w:tcPr>
            <w:tcW w:w="0" w:type="auto"/>
          </w:tcPr>
          <w:p w14:paraId="04EA76B1" w14:textId="77777777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proofErr w:type="spellStart"/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Vakcsai</w:t>
            </w:r>
            <w:proofErr w:type="spellEnd"/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utca 2.</w:t>
            </w:r>
          </w:p>
        </w:tc>
        <w:tc>
          <w:tcPr>
            <w:tcW w:w="0" w:type="auto"/>
          </w:tcPr>
          <w:p w14:paraId="31D812E8" w14:textId="77777777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kivett beépítetlen terület</w:t>
            </w:r>
          </w:p>
        </w:tc>
        <w:tc>
          <w:tcPr>
            <w:tcW w:w="0" w:type="auto"/>
          </w:tcPr>
          <w:p w14:paraId="495A275F" w14:textId="77777777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1286</w:t>
            </w:r>
          </w:p>
        </w:tc>
        <w:tc>
          <w:tcPr>
            <w:tcW w:w="0" w:type="auto"/>
          </w:tcPr>
          <w:p w14:paraId="22A5403B" w14:textId="18907CD0" w:rsidR="006B6E9B" w:rsidRPr="00F5561F" w:rsidRDefault="00EB3DB8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értékesítésre kijelölve 2025.04.14.</w:t>
            </w:r>
            <w:r w:rsidR="001B232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,</w:t>
            </w: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="001B232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</w:t>
            </w: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ulajdonosi </w:t>
            </w:r>
            <w:r w:rsidR="001B232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B</w:t>
            </w: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izottság</w:t>
            </w:r>
            <w:r w:rsidR="001B232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,</w:t>
            </w: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legalacsonyabb értékesítési ár: 33,1 millió Ft</w:t>
            </w:r>
          </w:p>
        </w:tc>
      </w:tr>
      <w:tr w:rsidR="00F5561F" w:rsidRPr="00F5561F" w14:paraId="1666537F" w14:textId="77777777" w:rsidTr="00EB3DB8">
        <w:tc>
          <w:tcPr>
            <w:tcW w:w="386" w:type="dxa"/>
          </w:tcPr>
          <w:p w14:paraId="18DA1A2E" w14:textId="77777777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0" w:type="auto"/>
          </w:tcPr>
          <w:p w14:paraId="022B1F52" w14:textId="77777777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0430/1</w:t>
            </w:r>
          </w:p>
        </w:tc>
        <w:tc>
          <w:tcPr>
            <w:tcW w:w="0" w:type="auto"/>
          </w:tcPr>
          <w:p w14:paraId="4B5D40A4" w14:textId="7A10E69D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Déli </w:t>
            </w:r>
            <w:proofErr w:type="spellStart"/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Intézm</w:t>
            </w:r>
            <w:proofErr w:type="spellEnd"/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.</w:t>
            </w:r>
            <w:r w:rsidR="001B232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központ GKSZ</w:t>
            </w:r>
          </w:p>
        </w:tc>
        <w:tc>
          <w:tcPr>
            <w:tcW w:w="0" w:type="auto"/>
          </w:tcPr>
          <w:p w14:paraId="5385A1BB" w14:textId="77777777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kivett beépítetlen terület</w:t>
            </w:r>
          </w:p>
        </w:tc>
        <w:tc>
          <w:tcPr>
            <w:tcW w:w="0" w:type="auto"/>
          </w:tcPr>
          <w:p w14:paraId="489A5EB8" w14:textId="77777777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1187</w:t>
            </w:r>
          </w:p>
        </w:tc>
        <w:tc>
          <w:tcPr>
            <w:tcW w:w="0" w:type="auto"/>
          </w:tcPr>
          <w:p w14:paraId="6530A63D" w14:textId="756C17EF" w:rsidR="006B6E9B" w:rsidRPr="00F5561F" w:rsidRDefault="006B6E9B" w:rsidP="006B6E9B">
            <w:pPr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proofErr w:type="spellStart"/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telekkiegészítéssel</w:t>
            </w:r>
            <w:proofErr w:type="spellEnd"/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, a </w:t>
            </w:r>
            <w:proofErr w:type="spellStart"/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Tirat</w:t>
            </w:r>
            <w:proofErr w:type="spellEnd"/>
            <w:r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C. u. kisajátításhoz nem szükséges terület rendezés</w:t>
            </w:r>
            <w:r w:rsidR="00EB3DB8" w:rsidRPr="00F5561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éről döntés megszületett</w:t>
            </w:r>
          </w:p>
        </w:tc>
      </w:tr>
    </w:tbl>
    <w:p w14:paraId="15E8DAFC" w14:textId="77777777" w:rsidR="008027B3" w:rsidRPr="005E23C0" w:rsidRDefault="008027B3" w:rsidP="0045618F">
      <w:pPr>
        <w:contextualSpacing/>
        <w:jc w:val="both"/>
        <w:rPr>
          <w:rFonts w:ascii="Tahoma" w:hAnsi="Tahoma" w:cs="Tahoma"/>
          <w:sz w:val="22"/>
          <w:szCs w:val="22"/>
        </w:rPr>
      </w:pPr>
    </w:p>
    <w:p w14:paraId="0729FF28" w14:textId="77777777" w:rsidR="00D54EB0" w:rsidRPr="005E23C0" w:rsidRDefault="00D54EB0" w:rsidP="00D54EB0">
      <w:pPr>
        <w:jc w:val="both"/>
        <w:rPr>
          <w:rFonts w:ascii="Tahoma" w:hAnsi="Tahoma" w:cs="Tahoma"/>
          <w:bCs/>
          <w:sz w:val="22"/>
          <w:szCs w:val="22"/>
        </w:rPr>
      </w:pPr>
    </w:p>
    <w:p w14:paraId="3CA845F8" w14:textId="05FF4146" w:rsidR="00E002F6" w:rsidRPr="005E23C0" w:rsidRDefault="00E002F6" w:rsidP="00E002F6">
      <w:pPr>
        <w:spacing w:after="200"/>
        <w:jc w:val="both"/>
        <w:rPr>
          <w:rFonts w:ascii="Tahoma" w:hAnsi="Tahoma" w:cs="Tahoma"/>
          <w:b/>
        </w:rPr>
      </w:pPr>
      <w:r w:rsidRPr="005E23C0">
        <w:rPr>
          <w:rFonts w:ascii="Tahoma" w:hAnsi="Tahoma" w:cs="Tahoma"/>
          <w:b/>
        </w:rPr>
        <w:t>V. A 202</w:t>
      </w:r>
      <w:r w:rsidR="00433353" w:rsidRPr="005E23C0">
        <w:rPr>
          <w:rFonts w:ascii="Tahoma" w:hAnsi="Tahoma" w:cs="Tahoma"/>
          <w:b/>
        </w:rPr>
        <w:t>6</w:t>
      </w:r>
      <w:r w:rsidRPr="005E23C0">
        <w:rPr>
          <w:rFonts w:ascii="Tahoma" w:hAnsi="Tahoma" w:cs="Tahoma"/>
          <w:b/>
        </w:rPr>
        <w:t>. évi fejlesztési célkitűzések és a közösségi szolgáltatások irányvonalának meghatározása</w:t>
      </w:r>
    </w:p>
    <w:p w14:paraId="659AE2EB" w14:textId="77777777" w:rsidR="002E7FB3" w:rsidRDefault="002E7FB3" w:rsidP="00E002F6">
      <w:pPr>
        <w:jc w:val="both"/>
        <w:rPr>
          <w:rFonts w:ascii="Tahoma" w:hAnsi="Tahoma" w:cs="Tahoma"/>
          <w:sz w:val="22"/>
          <w:szCs w:val="22"/>
        </w:rPr>
      </w:pPr>
    </w:p>
    <w:p w14:paraId="1E910833" w14:textId="43DBE2DC" w:rsidR="00E002F6" w:rsidRDefault="00E002F6" w:rsidP="00E002F6">
      <w:pPr>
        <w:jc w:val="both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t>Az Önkormányzat jelenleg három jelentős támogatási programban vesz részt, a Modern Városok Programban, az Európai Uniós Területfejlesztési és Településfejlesztési Operatív Program Pluszban</w:t>
      </w:r>
      <w:r w:rsidR="00A07063" w:rsidRPr="005E23C0">
        <w:rPr>
          <w:rFonts w:ascii="Tahoma" w:hAnsi="Tahoma" w:cs="Tahoma"/>
          <w:sz w:val="22"/>
          <w:szCs w:val="22"/>
        </w:rPr>
        <w:t>, a Versenyképes Járások Programban</w:t>
      </w:r>
      <w:r w:rsidR="006B6E9B">
        <w:rPr>
          <w:rFonts w:ascii="Tahoma" w:hAnsi="Tahoma" w:cs="Tahoma"/>
          <w:sz w:val="22"/>
          <w:szCs w:val="22"/>
        </w:rPr>
        <w:t>.</w:t>
      </w:r>
    </w:p>
    <w:p w14:paraId="64922B29" w14:textId="77777777" w:rsidR="006B6E9B" w:rsidRPr="005E23C0" w:rsidRDefault="006B6E9B" w:rsidP="00E002F6">
      <w:pPr>
        <w:jc w:val="both"/>
        <w:rPr>
          <w:rFonts w:ascii="Tahoma" w:hAnsi="Tahoma" w:cs="Tahoma"/>
          <w:sz w:val="22"/>
          <w:szCs w:val="22"/>
        </w:rPr>
      </w:pPr>
    </w:p>
    <w:p w14:paraId="0AC38A18" w14:textId="16C8FAAF" w:rsidR="00E002F6" w:rsidRPr="005E23C0" w:rsidRDefault="00E002F6" w:rsidP="00E002F6">
      <w:pPr>
        <w:jc w:val="both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t>A 2020-2027-ig tartó Európai Uniós finanszírozási időszak forrásaina</w:t>
      </w:r>
      <w:r w:rsidR="001B232B">
        <w:rPr>
          <w:rFonts w:ascii="Tahoma" w:hAnsi="Tahoma" w:cs="Tahoma"/>
          <w:sz w:val="22"/>
          <w:szCs w:val="22"/>
        </w:rPr>
        <w:t>k</w:t>
      </w:r>
      <w:r w:rsidRPr="005E23C0">
        <w:rPr>
          <w:rFonts w:ascii="Tahoma" w:hAnsi="Tahoma" w:cs="Tahoma"/>
          <w:sz w:val="22"/>
          <w:szCs w:val="22"/>
        </w:rPr>
        <w:t xml:space="preserve"> igénybevételéhez kapcsolódóan elkészült a fenntartható városfejlesztési stratégia (FVS), amely alapja a TOP Plusz városfejlesztési programtervnek (TVP). Utóbbi részletes projekt szintű tervezési dokumentum, ami tartalmazza annak a 13,090 milliárd forintos beruházási keretnek a pontos beavatkozási elképzeléseit, aminek a lehívására Veszprém jogosult az előttünk álló időszakban. A programterv módosítását a Közgyűlés 202</w:t>
      </w:r>
      <w:r w:rsidR="00A07063" w:rsidRPr="005E23C0">
        <w:rPr>
          <w:rFonts w:ascii="Tahoma" w:hAnsi="Tahoma" w:cs="Tahoma"/>
          <w:sz w:val="22"/>
          <w:szCs w:val="22"/>
        </w:rPr>
        <w:t>5</w:t>
      </w:r>
      <w:r w:rsidRPr="005E23C0">
        <w:rPr>
          <w:rFonts w:ascii="Tahoma" w:hAnsi="Tahoma" w:cs="Tahoma"/>
          <w:sz w:val="22"/>
          <w:szCs w:val="22"/>
        </w:rPr>
        <w:t xml:space="preserve">. </w:t>
      </w:r>
      <w:r w:rsidR="00A07063" w:rsidRPr="005E23C0">
        <w:rPr>
          <w:rFonts w:ascii="Tahoma" w:hAnsi="Tahoma" w:cs="Tahoma"/>
          <w:sz w:val="22"/>
          <w:szCs w:val="22"/>
        </w:rPr>
        <w:t>márciusi</w:t>
      </w:r>
      <w:r w:rsidRPr="005E23C0">
        <w:rPr>
          <w:rFonts w:ascii="Tahoma" w:hAnsi="Tahoma" w:cs="Tahoma"/>
          <w:sz w:val="22"/>
          <w:szCs w:val="22"/>
        </w:rPr>
        <w:t xml:space="preserve"> ülésén fogadta el</w:t>
      </w:r>
      <w:r w:rsidR="00A07063" w:rsidRPr="005E23C0">
        <w:rPr>
          <w:rFonts w:ascii="Tahoma" w:hAnsi="Tahoma" w:cs="Tahoma"/>
          <w:sz w:val="22"/>
          <w:szCs w:val="22"/>
        </w:rPr>
        <w:t xml:space="preserve">, ennek alapján kerültek benyújtásra a </w:t>
      </w:r>
      <w:r w:rsidR="00A07063" w:rsidRPr="005E23C0">
        <w:rPr>
          <w:rFonts w:ascii="Tahoma" w:hAnsi="Tahoma" w:cs="Tahoma"/>
          <w:sz w:val="22"/>
          <w:szCs w:val="22"/>
        </w:rPr>
        <w:lastRenderedPageBreak/>
        <w:t>projektek 2025. március 31-ig. Ez alól az energetikai beruházások képeztek kivételt, mivel a pályázati felhívások nem jelentek meg erre a Prioritásra vonatkozóan.</w:t>
      </w:r>
    </w:p>
    <w:p w14:paraId="0A9577AD" w14:textId="77777777" w:rsidR="00E002F6" w:rsidRPr="005E23C0" w:rsidRDefault="00E002F6" w:rsidP="00E002F6">
      <w:pPr>
        <w:jc w:val="both"/>
        <w:rPr>
          <w:rFonts w:ascii="Tahoma" w:hAnsi="Tahoma" w:cs="Tahoma"/>
          <w:sz w:val="22"/>
          <w:szCs w:val="22"/>
        </w:rPr>
      </w:pPr>
    </w:p>
    <w:p w14:paraId="231CE57A" w14:textId="77777777" w:rsidR="00E002F6" w:rsidRPr="005E23C0" w:rsidRDefault="00E002F6" w:rsidP="00E002F6">
      <w:pPr>
        <w:jc w:val="both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t>A Kormány a Modern Városok Program keretében 2016. május 10. napján együttműködési megállapodást kötött Veszprém Megyei Jogú Város Önkormányzatával a város és térsége további fejlődése és megújulása érdekében. A Megállapodás végrehajtása érdekében meghatározott feladatokról létrejött a 1284/2016. (VI. 7.) Korm. határozat. E határozatban kerültek nevesítésre a fejlesztési projektek és a megvalósítás végrehajtásáért felelős szaktárcák. Az MVP program sajátossága, hogy olyan helyi közszolgáltatások infrastrukturális fejlesztésére irányul, amely önkormányzati vagy állami vagyoni növekedést eredményez.</w:t>
      </w:r>
    </w:p>
    <w:p w14:paraId="269C4F4D" w14:textId="77777777" w:rsidR="00E002F6" w:rsidRPr="005E23C0" w:rsidRDefault="00E002F6" w:rsidP="00E002F6">
      <w:pPr>
        <w:jc w:val="both"/>
        <w:rPr>
          <w:rFonts w:ascii="Tahoma" w:hAnsi="Tahoma" w:cs="Tahoma"/>
          <w:sz w:val="22"/>
          <w:szCs w:val="22"/>
        </w:rPr>
      </w:pPr>
    </w:p>
    <w:p w14:paraId="277A86C8" w14:textId="3745CB0A" w:rsidR="00E002F6" w:rsidRDefault="00E002F6" w:rsidP="00E002F6">
      <w:pPr>
        <w:jc w:val="both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t>AZ MVP program zárása 2025. december 31-én tervezett</w:t>
      </w:r>
      <w:r w:rsidR="006B6E9B">
        <w:rPr>
          <w:rFonts w:ascii="Tahoma" w:hAnsi="Tahoma" w:cs="Tahoma"/>
          <w:sz w:val="22"/>
          <w:szCs w:val="22"/>
        </w:rPr>
        <w:t xml:space="preserve"> azzal, hogy Veszprémben még folyamatban van a Veszprémi Petőfi Színház rekonstrukciós pályázatának a második üteme, amelynek az első megvalósítási fázisában a Bakony Társasházban meglevő önkormányzati tulajdonú ingatlanok felújítására és színházi célú használatára kerül sor a következő években 4 milliárd </w:t>
      </w:r>
      <w:proofErr w:type="gramStart"/>
      <w:r w:rsidR="006B6E9B">
        <w:rPr>
          <w:rFonts w:ascii="Tahoma" w:hAnsi="Tahoma" w:cs="Tahoma"/>
          <w:sz w:val="22"/>
          <w:szCs w:val="22"/>
        </w:rPr>
        <w:t>forint értékben</w:t>
      </w:r>
      <w:proofErr w:type="gramEnd"/>
      <w:r w:rsidR="006B6E9B">
        <w:rPr>
          <w:rFonts w:ascii="Tahoma" w:hAnsi="Tahoma" w:cs="Tahoma"/>
          <w:sz w:val="22"/>
          <w:szCs w:val="22"/>
        </w:rPr>
        <w:t>.</w:t>
      </w:r>
    </w:p>
    <w:p w14:paraId="71595596" w14:textId="77777777" w:rsidR="001B232B" w:rsidRDefault="001B232B" w:rsidP="00E002F6">
      <w:pPr>
        <w:jc w:val="both"/>
        <w:rPr>
          <w:rFonts w:ascii="Tahoma" w:hAnsi="Tahoma" w:cs="Tahoma"/>
          <w:sz w:val="22"/>
          <w:szCs w:val="22"/>
        </w:rPr>
      </w:pPr>
    </w:p>
    <w:p w14:paraId="5EC4078A" w14:textId="750DB0E8" w:rsidR="006B6E9B" w:rsidRDefault="006B6E9B" w:rsidP="006B6E9B">
      <w:pPr>
        <w:jc w:val="both"/>
        <w:rPr>
          <w:rFonts w:ascii="Tahoma" w:hAnsi="Tahoma" w:cs="Tahoma"/>
          <w:sz w:val="22"/>
          <w:szCs w:val="22"/>
        </w:rPr>
      </w:pPr>
      <w:r w:rsidRPr="006B6E9B">
        <w:rPr>
          <w:rFonts w:ascii="Tahoma" w:hAnsi="Tahoma" w:cs="Tahoma"/>
          <w:sz w:val="22"/>
          <w:szCs w:val="22"/>
        </w:rPr>
        <w:t>A Veszprémi Petőfi Színház felújítása és korszerűsítése, valamint a színház környezetének megújítását célzó fejlesztések</w:t>
      </w:r>
      <w:r>
        <w:rPr>
          <w:rFonts w:ascii="Tahoma" w:hAnsi="Tahoma" w:cs="Tahoma"/>
          <w:sz w:val="22"/>
          <w:szCs w:val="22"/>
        </w:rPr>
        <w:t xml:space="preserve">re a </w:t>
      </w:r>
      <w:r w:rsidRPr="006B6E9B">
        <w:rPr>
          <w:rFonts w:ascii="Tahoma" w:hAnsi="Tahoma" w:cs="Tahoma"/>
          <w:sz w:val="22"/>
          <w:szCs w:val="22"/>
        </w:rPr>
        <w:t xml:space="preserve">1203/2017. (IV. 10.) Korm. határozat </w:t>
      </w:r>
      <w:r>
        <w:rPr>
          <w:rFonts w:ascii="Tahoma" w:hAnsi="Tahoma" w:cs="Tahoma"/>
          <w:sz w:val="22"/>
          <w:szCs w:val="22"/>
        </w:rPr>
        <w:t>alapján h</w:t>
      </w:r>
      <w:r w:rsidRPr="006B6E9B">
        <w:rPr>
          <w:rFonts w:ascii="Tahoma" w:hAnsi="Tahoma" w:cs="Tahoma"/>
          <w:sz w:val="22"/>
          <w:szCs w:val="22"/>
        </w:rPr>
        <w:t>atályos Támogatói Okirattal rendelkezünk</w:t>
      </w:r>
      <w:r>
        <w:rPr>
          <w:rFonts w:ascii="Tahoma" w:hAnsi="Tahoma" w:cs="Tahoma"/>
          <w:sz w:val="22"/>
          <w:szCs w:val="22"/>
        </w:rPr>
        <w:t xml:space="preserve"> </w:t>
      </w:r>
      <w:r w:rsidRPr="006B6E9B">
        <w:rPr>
          <w:rFonts w:ascii="Tahoma" w:hAnsi="Tahoma" w:cs="Tahoma"/>
          <w:sz w:val="22"/>
          <w:szCs w:val="22"/>
        </w:rPr>
        <w:t>9</w:t>
      </w:r>
      <w:r>
        <w:rPr>
          <w:rFonts w:ascii="Tahoma" w:hAnsi="Tahoma" w:cs="Tahoma"/>
          <w:sz w:val="22"/>
          <w:szCs w:val="22"/>
        </w:rPr>
        <w:t>,</w:t>
      </w:r>
      <w:r w:rsidRPr="006B6E9B">
        <w:rPr>
          <w:rFonts w:ascii="Tahoma" w:hAnsi="Tahoma" w:cs="Tahoma"/>
          <w:sz w:val="22"/>
          <w:szCs w:val="22"/>
        </w:rPr>
        <w:t>280,00</w:t>
      </w:r>
      <w:r>
        <w:rPr>
          <w:rFonts w:ascii="Tahoma" w:hAnsi="Tahoma" w:cs="Tahoma"/>
          <w:sz w:val="22"/>
          <w:szCs w:val="22"/>
        </w:rPr>
        <w:t xml:space="preserve">0 ezer </w:t>
      </w:r>
      <w:proofErr w:type="gramStart"/>
      <w:r>
        <w:rPr>
          <w:rFonts w:ascii="Tahoma" w:hAnsi="Tahoma" w:cs="Tahoma"/>
          <w:sz w:val="22"/>
          <w:szCs w:val="22"/>
        </w:rPr>
        <w:t>forint értékben</w:t>
      </w:r>
      <w:proofErr w:type="gramEnd"/>
      <w:r>
        <w:rPr>
          <w:rFonts w:ascii="Tahoma" w:hAnsi="Tahoma" w:cs="Tahoma"/>
          <w:sz w:val="22"/>
          <w:szCs w:val="22"/>
        </w:rPr>
        <w:t xml:space="preserve">. </w:t>
      </w:r>
    </w:p>
    <w:p w14:paraId="14CA1E5A" w14:textId="77777777" w:rsidR="001B232B" w:rsidRPr="006B6E9B" w:rsidRDefault="001B232B" w:rsidP="006B6E9B">
      <w:pPr>
        <w:jc w:val="both"/>
        <w:rPr>
          <w:rFonts w:ascii="Tahoma" w:hAnsi="Tahoma" w:cs="Tahoma"/>
          <w:sz w:val="22"/>
          <w:szCs w:val="22"/>
        </w:rPr>
      </w:pPr>
    </w:p>
    <w:p w14:paraId="21623524" w14:textId="77777777" w:rsidR="006B6E9B" w:rsidRDefault="006B6E9B" w:rsidP="006B6E9B">
      <w:pPr>
        <w:jc w:val="both"/>
        <w:rPr>
          <w:rFonts w:ascii="Tahoma" w:hAnsi="Tahoma" w:cs="Tahoma"/>
          <w:sz w:val="22"/>
          <w:szCs w:val="22"/>
        </w:rPr>
      </w:pPr>
      <w:r w:rsidRPr="006B6E9B">
        <w:rPr>
          <w:rFonts w:ascii="Tahoma" w:hAnsi="Tahoma" w:cs="Tahoma"/>
          <w:sz w:val="22"/>
          <w:szCs w:val="22"/>
        </w:rPr>
        <w:t>Az I. ütem kivitelezési munkái befejeződtek, a sikeres műszaki átadás-átvételi eljárás 2022. október 13-án lezárult.</w:t>
      </w:r>
    </w:p>
    <w:p w14:paraId="4796593A" w14:textId="77777777" w:rsidR="001B232B" w:rsidRPr="006B6E9B" w:rsidRDefault="001B232B" w:rsidP="006B6E9B">
      <w:pPr>
        <w:jc w:val="both"/>
        <w:rPr>
          <w:rFonts w:ascii="Tahoma" w:hAnsi="Tahoma" w:cs="Tahoma"/>
          <w:sz w:val="22"/>
          <w:szCs w:val="22"/>
        </w:rPr>
      </w:pPr>
    </w:p>
    <w:p w14:paraId="4293DE77" w14:textId="4F9D7128" w:rsidR="006B6E9B" w:rsidRDefault="006B6E9B" w:rsidP="006B6E9B">
      <w:pPr>
        <w:jc w:val="both"/>
        <w:rPr>
          <w:rFonts w:ascii="Tahoma" w:hAnsi="Tahoma" w:cs="Tahoma"/>
          <w:sz w:val="22"/>
          <w:szCs w:val="22"/>
        </w:rPr>
      </w:pPr>
      <w:r w:rsidRPr="006B6E9B">
        <w:rPr>
          <w:rFonts w:ascii="Tahoma" w:hAnsi="Tahoma" w:cs="Tahoma"/>
          <w:sz w:val="22"/>
          <w:szCs w:val="22"/>
        </w:rPr>
        <w:t>A II. ütem elkezdődött, a tervek felülvizsgálata megtörtént, a kivitelezés költségellenőrzése zajlik.</w:t>
      </w:r>
    </w:p>
    <w:p w14:paraId="620D8FBA" w14:textId="77777777" w:rsidR="006B6E9B" w:rsidRDefault="006B6E9B" w:rsidP="006B6E9B">
      <w:pPr>
        <w:jc w:val="both"/>
        <w:rPr>
          <w:rFonts w:ascii="Tahoma" w:hAnsi="Tahoma" w:cs="Tahoma"/>
          <w:sz w:val="22"/>
          <w:szCs w:val="22"/>
        </w:rPr>
      </w:pPr>
    </w:p>
    <w:p w14:paraId="6ECE0C5E" w14:textId="624B222A" w:rsidR="00F55B08" w:rsidRPr="00F55B08" w:rsidRDefault="00F55B08" w:rsidP="00F55B08">
      <w:pPr>
        <w:jc w:val="both"/>
        <w:rPr>
          <w:rFonts w:ascii="Tahoma" w:hAnsi="Tahoma" w:cs="Tahoma"/>
          <w:sz w:val="22"/>
          <w:szCs w:val="22"/>
        </w:rPr>
      </w:pPr>
      <w:r w:rsidRPr="00F55B08">
        <w:rPr>
          <w:rFonts w:ascii="Tahoma" w:hAnsi="Tahoma" w:cs="Tahoma"/>
          <w:sz w:val="22"/>
          <w:szCs w:val="22"/>
        </w:rPr>
        <w:t>A Magyar Labdarúgó Szövetség (a továbbiakban: MLSZ) Országos Futsal Csarnok építési programja keretében Veszprém Megyei Jogú Város Önkormányzatát bruttó 1150 millió Ft támogatásban részesítette a 2024. július 26. napján kelt döntés alapján. Veszprém Megyei Jogú Város Önkormányzata a Veszprém 3057/90 hrsz.-ú – természetben a Veszprém, Március 15. utca 5. szám alatt található – ingatlan pályázati úton történő teljeskörű felújításával, funkcióváltásával kapcsolatban pályázott, amely</w:t>
      </w:r>
      <w:r w:rsidR="001B232B">
        <w:rPr>
          <w:rFonts w:ascii="Tahoma" w:hAnsi="Tahoma" w:cs="Tahoma"/>
          <w:sz w:val="22"/>
          <w:szCs w:val="22"/>
        </w:rPr>
        <w:t>nek</w:t>
      </w:r>
      <w:r w:rsidRPr="00F55B08">
        <w:rPr>
          <w:rFonts w:ascii="Tahoma" w:hAnsi="Tahoma" w:cs="Tahoma"/>
          <w:sz w:val="22"/>
          <w:szCs w:val="22"/>
        </w:rPr>
        <w:t xml:space="preserve"> célja a volt uszoda futsal gyakorló-pályának történő átalakítása.</w:t>
      </w:r>
    </w:p>
    <w:p w14:paraId="71BD6BAE" w14:textId="77777777" w:rsidR="00F55B08" w:rsidRDefault="00F55B08" w:rsidP="00F55B08">
      <w:pPr>
        <w:jc w:val="both"/>
        <w:rPr>
          <w:rFonts w:ascii="Tahoma" w:hAnsi="Tahoma" w:cs="Tahoma"/>
          <w:sz w:val="22"/>
          <w:szCs w:val="22"/>
        </w:rPr>
      </w:pPr>
      <w:r w:rsidRPr="00F55B08">
        <w:rPr>
          <w:rFonts w:ascii="Tahoma" w:hAnsi="Tahoma" w:cs="Tahoma"/>
          <w:sz w:val="22"/>
          <w:szCs w:val="22"/>
        </w:rPr>
        <w:t xml:space="preserve">Az Önkormányzat a II. típusú barnamezős beruházás (felújítás) támogatásra pályázott, amely a meglévő csarnok felújítását és a funkcióváltás miatt szükséges bontást és épületbővítést, valamint részleges felújítást támogat. </w:t>
      </w:r>
    </w:p>
    <w:p w14:paraId="4B97D3E2" w14:textId="77777777" w:rsidR="001B232B" w:rsidRPr="00F55B08" w:rsidRDefault="001B232B" w:rsidP="00F55B08">
      <w:pPr>
        <w:jc w:val="both"/>
        <w:rPr>
          <w:rFonts w:ascii="Tahoma" w:hAnsi="Tahoma" w:cs="Tahoma"/>
          <w:sz w:val="22"/>
          <w:szCs w:val="22"/>
        </w:rPr>
      </w:pPr>
    </w:p>
    <w:p w14:paraId="0AD8E408" w14:textId="1AA862B1" w:rsidR="00F55B08" w:rsidRPr="00F55B08" w:rsidRDefault="00F55B08" w:rsidP="00F55B08">
      <w:pPr>
        <w:jc w:val="both"/>
        <w:rPr>
          <w:rFonts w:ascii="Tahoma" w:hAnsi="Tahoma" w:cs="Tahoma"/>
          <w:sz w:val="22"/>
          <w:szCs w:val="22"/>
        </w:rPr>
      </w:pPr>
      <w:r w:rsidRPr="00F55B08">
        <w:rPr>
          <w:rFonts w:ascii="Tahoma" w:hAnsi="Tahoma" w:cs="Tahoma"/>
          <w:sz w:val="22"/>
          <w:szCs w:val="22"/>
        </w:rPr>
        <w:t xml:space="preserve">A pályázati támogatás összege vissza nem térítendő támogatás, ami nem haladhatja meg az 1150 millió Ft-os összeget, amelyet az </w:t>
      </w:r>
      <w:proofErr w:type="gramStart"/>
      <w:r w:rsidRPr="00F55B08">
        <w:rPr>
          <w:rFonts w:ascii="Tahoma" w:hAnsi="Tahoma" w:cs="Tahoma"/>
          <w:sz w:val="22"/>
          <w:szCs w:val="22"/>
        </w:rPr>
        <w:t>MLSZ</w:t>
      </w:r>
      <w:proofErr w:type="gramEnd"/>
      <w:r w:rsidRPr="00F55B08">
        <w:rPr>
          <w:rFonts w:ascii="Tahoma" w:hAnsi="Tahoma" w:cs="Tahoma"/>
          <w:sz w:val="22"/>
          <w:szCs w:val="22"/>
        </w:rPr>
        <w:t xml:space="preserve"> mint támogató a kivitelezési szerződés szerinti kivitelezési munkákhoz kapcsolódó fizetési kötelezettség beállta alapján az egyes kivitelezési mérföldköveknek megfelelő ütemezésben bocsátja az Önkormányzat rendelkezésére.</w:t>
      </w:r>
    </w:p>
    <w:p w14:paraId="3DB0B716" w14:textId="77777777" w:rsidR="00F55B08" w:rsidRPr="00F55B08" w:rsidRDefault="00F55B08" w:rsidP="00F55B08">
      <w:pPr>
        <w:jc w:val="both"/>
        <w:rPr>
          <w:rFonts w:ascii="Tahoma" w:hAnsi="Tahoma" w:cs="Tahoma"/>
          <w:sz w:val="22"/>
          <w:szCs w:val="22"/>
        </w:rPr>
      </w:pPr>
    </w:p>
    <w:p w14:paraId="78E8C38B" w14:textId="26AEB3A2" w:rsidR="00F55B08" w:rsidRDefault="00F55B08" w:rsidP="00F55B08">
      <w:pPr>
        <w:jc w:val="both"/>
        <w:rPr>
          <w:rFonts w:ascii="Tahoma" w:hAnsi="Tahoma" w:cs="Tahoma"/>
          <w:sz w:val="22"/>
          <w:szCs w:val="22"/>
        </w:rPr>
      </w:pPr>
      <w:r w:rsidRPr="00F55B08">
        <w:rPr>
          <w:rFonts w:ascii="Tahoma" w:hAnsi="Tahoma" w:cs="Tahoma"/>
          <w:sz w:val="22"/>
          <w:szCs w:val="22"/>
        </w:rPr>
        <w:t>Veszprém Megyei Jogú Város Önkormányzata Közgyűlésének 401/2025. (X.30.) határozata alapján megállapodást kötöttünk az MLSZ-el a Veszprém 3057/90 hrsz.-ú – természetben a Veszprém, Március 15. utcában található – ingatlanon lévő uszoda funkcióváltásával és felújításával kapcsolatban, amely részletezi, hogy a megvalósítás során az Önkormányzat a támogatási forrásokat milyen feltételekkel tudja lehívni és felhasználni.</w:t>
      </w:r>
    </w:p>
    <w:p w14:paraId="77ADCB31" w14:textId="77777777" w:rsidR="00036C41" w:rsidRDefault="00036C41" w:rsidP="006B6E9B">
      <w:pPr>
        <w:jc w:val="both"/>
        <w:rPr>
          <w:rFonts w:ascii="Tahoma" w:hAnsi="Tahoma" w:cs="Tahoma"/>
          <w:sz w:val="22"/>
          <w:szCs w:val="22"/>
        </w:rPr>
      </w:pPr>
    </w:p>
    <w:p w14:paraId="61E0F9D9" w14:textId="172E0873" w:rsidR="00F55B08" w:rsidRDefault="00036C41" w:rsidP="00E002F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Veszprém Megyei Jogú Város Önkormányzata a nyertes pályázati eljárást követően támogatás</w:t>
      </w:r>
      <w:r w:rsidR="001B232B">
        <w:rPr>
          <w:rFonts w:ascii="Tahoma" w:hAnsi="Tahoma" w:cs="Tahoma"/>
          <w:sz w:val="22"/>
          <w:szCs w:val="22"/>
        </w:rPr>
        <w:t>i</w:t>
      </w:r>
      <w:r>
        <w:rPr>
          <w:rFonts w:ascii="Tahoma" w:hAnsi="Tahoma" w:cs="Tahoma"/>
          <w:sz w:val="22"/>
          <w:szCs w:val="22"/>
        </w:rPr>
        <w:t xml:space="preserve"> szerződéssel rendelkezik a </w:t>
      </w:r>
      <w:r w:rsidRPr="00036C41">
        <w:rPr>
          <w:rFonts w:ascii="Tahoma" w:hAnsi="Tahoma" w:cs="Tahoma"/>
          <w:sz w:val="22"/>
          <w:szCs w:val="22"/>
        </w:rPr>
        <w:t xml:space="preserve">DIMOP Plusz-2.1.1-24 </w:t>
      </w:r>
      <w:r>
        <w:rPr>
          <w:rFonts w:ascii="Tahoma" w:hAnsi="Tahoma" w:cs="Tahoma"/>
          <w:sz w:val="22"/>
          <w:szCs w:val="22"/>
        </w:rPr>
        <w:t>kódszámú és „</w:t>
      </w:r>
      <w:r w:rsidRPr="00036C41">
        <w:rPr>
          <w:rFonts w:ascii="Tahoma" w:hAnsi="Tahoma" w:cs="Tahoma"/>
          <w:sz w:val="22"/>
          <w:szCs w:val="22"/>
        </w:rPr>
        <w:t>Energia menedzsment</w:t>
      </w:r>
      <w:r>
        <w:rPr>
          <w:rFonts w:ascii="Tahoma" w:hAnsi="Tahoma" w:cs="Tahoma"/>
          <w:sz w:val="22"/>
          <w:szCs w:val="22"/>
        </w:rPr>
        <w:t xml:space="preserve"> rendszerek fejlesztése és bevezetése önkormányzatok számára” című pályázati felhívás kapcsán.</w:t>
      </w:r>
    </w:p>
    <w:p w14:paraId="34B7FACC" w14:textId="77777777" w:rsidR="00036C41" w:rsidRPr="00036C41" w:rsidRDefault="00036C41" w:rsidP="00036C41">
      <w:pPr>
        <w:jc w:val="both"/>
        <w:rPr>
          <w:rFonts w:ascii="Tahoma" w:hAnsi="Tahoma" w:cs="Tahoma"/>
          <w:sz w:val="22"/>
          <w:szCs w:val="22"/>
        </w:rPr>
      </w:pPr>
      <w:r w:rsidRPr="00036C41">
        <w:rPr>
          <w:rFonts w:ascii="Tahoma" w:hAnsi="Tahoma" w:cs="Tahoma"/>
          <w:sz w:val="22"/>
          <w:szCs w:val="22"/>
        </w:rPr>
        <w:lastRenderedPageBreak/>
        <w:t xml:space="preserve">Az energetikai menedzsment rendszer bevezetésére 23 épület került kiválasztásra, figyelembe véve azok méretét, energetikai adottságait és az elmúlt években végrehajtott korszerűsítéseket. </w:t>
      </w:r>
    </w:p>
    <w:p w14:paraId="7319E9FD" w14:textId="77777777" w:rsidR="00036C41" w:rsidRDefault="00036C41" w:rsidP="00036C41">
      <w:pPr>
        <w:jc w:val="both"/>
        <w:rPr>
          <w:rFonts w:ascii="Tahoma" w:hAnsi="Tahoma" w:cs="Tahoma"/>
          <w:sz w:val="22"/>
          <w:szCs w:val="22"/>
        </w:rPr>
      </w:pPr>
    </w:p>
    <w:p w14:paraId="111D2DC5" w14:textId="79815EAC" w:rsidR="00036C41" w:rsidRDefault="00036C41" w:rsidP="00036C41">
      <w:pPr>
        <w:jc w:val="both"/>
        <w:rPr>
          <w:rFonts w:ascii="Tahoma" w:hAnsi="Tahoma" w:cs="Tahoma"/>
          <w:sz w:val="22"/>
          <w:szCs w:val="22"/>
        </w:rPr>
      </w:pPr>
      <w:r w:rsidRPr="00036C41">
        <w:rPr>
          <w:rFonts w:ascii="Tahoma" w:hAnsi="Tahoma" w:cs="Tahoma"/>
          <w:sz w:val="22"/>
          <w:szCs w:val="22"/>
        </w:rPr>
        <w:t>A következő épületek kerülnek tervezetten bevonásra a</w:t>
      </w:r>
      <w:r>
        <w:rPr>
          <w:rFonts w:ascii="Tahoma" w:hAnsi="Tahoma" w:cs="Tahoma"/>
          <w:sz w:val="22"/>
          <w:szCs w:val="22"/>
        </w:rPr>
        <w:t>z</w:t>
      </w:r>
      <w:r w:rsidRPr="00036C41">
        <w:rPr>
          <w:rFonts w:ascii="Tahoma" w:hAnsi="Tahoma" w:cs="Tahoma"/>
          <w:sz w:val="22"/>
          <w:szCs w:val="22"/>
        </w:rPr>
        <w:t xml:space="preserve"> energetikai menedzsment rendszerbe: </w:t>
      </w:r>
    </w:p>
    <w:p w14:paraId="5E594EF1" w14:textId="77777777" w:rsidR="00036C41" w:rsidRPr="00036C41" w:rsidRDefault="00036C41" w:rsidP="00036C41">
      <w:pPr>
        <w:jc w:val="both"/>
        <w:rPr>
          <w:rFonts w:ascii="Tahoma" w:hAnsi="Tahoma" w:cs="Tahoma"/>
          <w:sz w:val="22"/>
          <w:szCs w:val="22"/>
        </w:rPr>
      </w:pPr>
    </w:p>
    <w:p w14:paraId="27718E86" w14:textId="5C06D8E6" w:rsidR="00036C41" w:rsidRPr="00036C41" w:rsidRDefault="00036C41" w:rsidP="00036C41">
      <w:pPr>
        <w:jc w:val="both"/>
        <w:rPr>
          <w:rFonts w:ascii="Tahoma" w:hAnsi="Tahoma" w:cs="Tahoma"/>
          <w:sz w:val="22"/>
          <w:szCs w:val="22"/>
        </w:rPr>
      </w:pPr>
      <w:r w:rsidRPr="00036C41">
        <w:rPr>
          <w:rFonts w:ascii="Tahoma" w:hAnsi="Tahoma" w:cs="Tahoma"/>
          <w:sz w:val="22"/>
          <w:szCs w:val="22"/>
        </w:rPr>
        <w:t>1.</w:t>
      </w:r>
      <w:r w:rsidRPr="00036C41">
        <w:rPr>
          <w:rFonts w:ascii="Tahoma" w:hAnsi="Tahoma" w:cs="Tahoma"/>
          <w:sz w:val="22"/>
          <w:szCs w:val="22"/>
        </w:rPr>
        <w:tab/>
      </w:r>
      <w:proofErr w:type="spellStart"/>
      <w:r w:rsidRPr="00036C41">
        <w:rPr>
          <w:rFonts w:ascii="Tahoma" w:hAnsi="Tahoma" w:cs="Tahoma"/>
          <w:sz w:val="22"/>
          <w:szCs w:val="22"/>
        </w:rPr>
        <w:t>ActiCity</w:t>
      </w:r>
      <w:proofErr w:type="spellEnd"/>
      <w:r w:rsidRPr="00036C41">
        <w:rPr>
          <w:rFonts w:ascii="Tahoma" w:hAnsi="Tahoma" w:cs="Tahoma"/>
          <w:sz w:val="22"/>
          <w:szCs w:val="22"/>
        </w:rPr>
        <w:t xml:space="preserve"> Tánc</w:t>
      </w:r>
      <w:r w:rsidR="001B232B">
        <w:rPr>
          <w:rFonts w:ascii="Tahoma" w:hAnsi="Tahoma" w:cs="Tahoma"/>
          <w:sz w:val="22"/>
          <w:szCs w:val="22"/>
        </w:rPr>
        <w:t>-</w:t>
      </w:r>
      <w:r w:rsidRPr="00036C41">
        <w:rPr>
          <w:rFonts w:ascii="Tahoma" w:hAnsi="Tahoma" w:cs="Tahoma"/>
          <w:sz w:val="22"/>
          <w:szCs w:val="22"/>
        </w:rPr>
        <w:t xml:space="preserve"> és Mozgásművészeti Központ</w:t>
      </w:r>
    </w:p>
    <w:p w14:paraId="4A7567BF" w14:textId="77777777" w:rsidR="00036C41" w:rsidRPr="00036C41" w:rsidRDefault="00036C41" w:rsidP="00036C41">
      <w:pPr>
        <w:jc w:val="both"/>
        <w:rPr>
          <w:rFonts w:ascii="Tahoma" w:hAnsi="Tahoma" w:cs="Tahoma"/>
          <w:sz w:val="22"/>
          <w:szCs w:val="22"/>
        </w:rPr>
      </w:pPr>
      <w:r w:rsidRPr="00036C41">
        <w:rPr>
          <w:rFonts w:ascii="Tahoma" w:hAnsi="Tahoma" w:cs="Tahoma"/>
          <w:sz w:val="22"/>
          <w:szCs w:val="22"/>
        </w:rPr>
        <w:t>2.</w:t>
      </w:r>
      <w:r w:rsidRPr="00036C41">
        <w:rPr>
          <w:rFonts w:ascii="Tahoma" w:hAnsi="Tahoma" w:cs="Tahoma"/>
          <w:sz w:val="22"/>
          <w:szCs w:val="22"/>
        </w:rPr>
        <w:tab/>
        <w:t xml:space="preserve">Agóra Veszprém Kulturális Központ </w:t>
      </w:r>
    </w:p>
    <w:p w14:paraId="1519E5A7" w14:textId="77777777" w:rsidR="00036C41" w:rsidRPr="00036C41" w:rsidRDefault="00036C41" w:rsidP="00036C41">
      <w:pPr>
        <w:jc w:val="both"/>
        <w:rPr>
          <w:rFonts w:ascii="Tahoma" w:hAnsi="Tahoma" w:cs="Tahoma"/>
          <w:sz w:val="22"/>
          <w:szCs w:val="22"/>
        </w:rPr>
      </w:pPr>
      <w:r w:rsidRPr="00036C41">
        <w:rPr>
          <w:rFonts w:ascii="Tahoma" w:hAnsi="Tahoma" w:cs="Tahoma"/>
          <w:sz w:val="22"/>
          <w:szCs w:val="22"/>
        </w:rPr>
        <w:t>3.</w:t>
      </w:r>
      <w:r w:rsidRPr="00036C41">
        <w:rPr>
          <w:rFonts w:ascii="Tahoma" w:hAnsi="Tahoma" w:cs="Tahoma"/>
          <w:sz w:val="22"/>
          <w:szCs w:val="22"/>
        </w:rPr>
        <w:tab/>
        <w:t>CODE Digitális Élményközpont</w:t>
      </w:r>
    </w:p>
    <w:p w14:paraId="1D8BF44A" w14:textId="0DBBE771" w:rsidR="00036C41" w:rsidRPr="00036C41" w:rsidRDefault="00036C41" w:rsidP="00036C41">
      <w:pPr>
        <w:jc w:val="both"/>
        <w:rPr>
          <w:rFonts w:ascii="Tahoma" w:hAnsi="Tahoma" w:cs="Tahoma"/>
          <w:sz w:val="22"/>
          <w:szCs w:val="22"/>
        </w:rPr>
      </w:pPr>
      <w:r w:rsidRPr="00036C41">
        <w:rPr>
          <w:rFonts w:ascii="Tahoma" w:hAnsi="Tahoma" w:cs="Tahoma"/>
          <w:sz w:val="22"/>
          <w:szCs w:val="22"/>
        </w:rPr>
        <w:t>4.</w:t>
      </w:r>
      <w:r w:rsidRPr="00036C41">
        <w:rPr>
          <w:rFonts w:ascii="Tahoma" w:hAnsi="Tahoma" w:cs="Tahoma"/>
          <w:sz w:val="22"/>
          <w:szCs w:val="22"/>
        </w:rPr>
        <w:tab/>
        <w:t>Eötvös Károly Könyvtár</w:t>
      </w:r>
    </w:p>
    <w:p w14:paraId="1D276C57" w14:textId="77777777" w:rsidR="00036C41" w:rsidRPr="00036C41" w:rsidRDefault="00036C41" w:rsidP="00036C41">
      <w:pPr>
        <w:jc w:val="both"/>
        <w:rPr>
          <w:rFonts w:ascii="Tahoma" w:hAnsi="Tahoma" w:cs="Tahoma"/>
          <w:sz w:val="22"/>
          <w:szCs w:val="22"/>
        </w:rPr>
      </w:pPr>
      <w:r w:rsidRPr="00036C41">
        <w:rPr>
          <w:rFonts w:ascii="Tahoma" w:hAnsi="Tahoma" w:cs="Tahoma"/>
          <w:sz w:val="22"/>
          <w:szCs w:val="22"/>
        </w:rPr>
        <w:t>5.</w:t>
      </w:r>
      <w:r w:rsidRPr="00036C41">
        <w:rPr>
          <w:rFonts w:ascii="Tahoma" w:hAnsi="Tahoma" w:cs="Tahoma"/>
          <w:sz w:val="22"/>
          <w:szCs w:val="22"/>
        </w:rPr>
        <w:tab/>
        <w:t>FOTON Audiovizuális Centrum</w:t>
      </w:r>
    </w:p>
    <w:p w14:paraId="0C73F497" w14:textId="77777777" w:rsidR="00036C41" w:rsidRPr="00036C41" w:rsidRDefault="00036C41" w:rsidP="00036C41">
      <w:pPr>
        <w:jc w:val="both"/>
        <w:rPr>
          <w:rFonts w:ascii="Tahoma" w:hAnsi="Tahoma" w:cs="Tahoma"/>
          <w:sz w:val="22"/>
          <w:szCs w:val="22"/>
        </w:rPr>
      </w:pPr>
      <w:r w:rsidRPr="00036C41">
        <w:rPr>
          <w:rFonts w:ascii="Tahoma" w:hAnsi="Tahoma" w:cs="Tahoma"/>
          <w:sz w:val="22"/>
          <w:szCs w:val="22"/>
        </w:rPr>
        <w:t>6.</w:t>
      </w:r>
      <w:r w:rsidRPr="00036C41">
        <w:rPr>
          <w:rFonts w:ascii="Tahoma" w:hAnsi="Tahoma" w:cs="Tahoma"/>
          <w:sz w:val="22"/>
          <w:szCs w:val="22"/>
        </w:rPr>
        <w:tab/>
        <w:t>Hangvilla Multifunkcionális Közösségi tér</w:t>
      </w:r>
    </w:p>
    <w:p w14:paraId="577AF40F" w14:textId="77777777" w:rsidR="00036C41" w:rsidRPr="00036C41" w:rsidRDefault="00036C41" w:rsidP="00036C41">
      <w:pPr>
        <w:jc w:val="both"/>
        <w:rPr>
          <w:rFonts w:ascii="Tahoma" w:hAnsi="Tahoma" w:cs="Tahoma"/>
          <w:sz w:val="22"/>
          <w:szCs w:val="22"/>
        </w:rPr>
      </w:pPr>
      <w:r w:rsidRPr="00036C41">
        <w:rPr>
          <w:rFonts w:ascii="Tahoma" w:hAnsi="Tahoma" w:cs="Tahoma"/>
          <w:sz w:val="22"/>
          <w:szCs w:val="22"/>
        </w:rPr>
        <w:t>7.</w:t>
      </w:r>
      <w:r w:rsidRPr="00036C41">
        <w:rPr>
          <w:rFonts w:ascii="Tahoma" w:hAnsi="Tahoma" w:cs="Tahoma"/>
          <w:sz w:val="22"/>
          <w:szCs w:val="22"/>
        </w:rPr>
        <w:tab/>
      </w:r>
      <w:proofErr w:type="spellStart"/>
      <w:r w:rsidRPr="00036C41">
        <w:rPr>
          <w:rFonts w:ascii="Tahoma" w:hAnsi="Tahoma" w:cs="Tahoma"/>
          <w:sz w:val="22"/>
          <w:szCs w:val="22"/>
        </w:rPr>
        <w:t>Haszkovó-forduló</w:t>
      </w:r>
      <w:proofErr w:type="spellEnd"/>
      <w:r w:rsidRPr="00036C41">
        <w:rPr>
          <w:rFonts w:ascii="Tahoma" w:hAnsi="Tahoma" w:cs="Tahoma"/>
          <w:sz w:val="22"/>
          <w:szCs w:val="22"/>
        </w:rPr>
        <w:t xml:space="preserve"> buszállomás</w:t>
      </w:r>
    </w:p>
    <w:p w14:paraId="22F1CDED" w14:textId="77777777" w:rsidR="00036C41" w:rsidRPr="00036C41" w:rsidRDefault="00036C41" w:rsidP="00036C41">
      <w:pPr>
        <w:jc w:val="both"/>
        <w:rPr>
          <w:rFonts w:ascii="Tahoma" w:hAnsi="Tahoma" w:cs="Tahoma"/>
          <w:sz w:val="22"/>
          <w:szCs w:val="22"/>
        </w:rPr>
      </w:pPr>
      <w:r w:rsidRPr="00036C41">
        <w:rPr>
          <w:rFonts w:ascii="Tahoma" w:hAnsi="Tahoma" w:cs="Tahoma"/>
          <w:sz w:val="22"/>
          <w:szCs w:val="22"/>
        </w:rPr>
        <w:t>8.</w:t>
      </w:r>
      <w:r w:rsidRPr="00036C41">
        <w:rPr>
          <w:rFonts w:ascii="Tahoma" w:hAnsi="Tahoma" w:cs="Tahoma"/>
          <w:sz w:val="22"/>
          <w:szCs w:val="22"/>
        </w:rPr>
        <w:tab/>
        <w:t>Idősek Otthona I.</w:t>
      </w:r>
    </w:p>
    <w:p w14:paraId="3175B4D8" w14:textId="77777777" w:rsidR="00036C41" w:rsidRPr="00036C41" w:rsidRDefault="00036C41" w:rsidP="00036C41">
      <w:pPr>
        <w:jc w:val="both"/>
        <w:rPr>
          <w:rFonts w:ascii="Tahoma" w:hAnsi="Tahoma" w:cs="Tahoma"/>
          <w:sz w:val="22"/>
          <w:szCs w:val="22"/>
        </w:rPr>
      </w:pPr>
      <w:r w:rsidRPr="00036C41">
        <w:rPr>
          <w:rFonts w:ascii="Tahoma" w:hAnsi="Tahoma" w:cs="Tahoma"/>
          <w:sz w:val="22"/>
          <w:szCs w:val="22"/>
        </w:rPr>
        <w:t>9.</w:t>
      </w:r>
      <w:r w:rsidRPr="00036C41">
        <w:rPr>
          <w:rFonts w:ascii="Tahoma" w:hAnsi="Tahoma" w:cs="Tahoma"/>
          <w:sz w:val="22"/>
          <w:szCs w:val="22"/>
        </w:rPr>
        <w:tab/>
        <w:t>Idősek Otthona II.</w:t>
      </w:r>
    </w:p>
    <w:p w14:paraId="0BA7A1B5" w14:textId="77777777" w:rsidR="00036C41" w:rsidRPr="00036C41" w:rsidRDefault="00036C41" w:rsidP="00036C41">
      <w:pPr>
        <w:jc w:val="both"/>
        <w:rPr>
          <w:rFonts w:ascii="Tahoma" w:hAnsi="Tahoma" w:cs="Tahoma"/>
          <w:sz w:val="22"/>
          <w:szCs w:val="22"/>
        </w:rPr>
      </w:pPr>
      <w:r w:rsidRPr="00036C41">
        <w:rPr>
          <w:rFonts w:ascii="Tahoma" w:hAnsi="Tahoma" w:cs="Tahoma"/>
          <w:sz w:val="22"/>
          <w:szCs w:val="22"/>
        </w:rPr>
        <w:t>10.</w:t>
      </w:r>
      <w:r w:rsidRPr="00036C41">
        <w:rPr>
          <w:rFonts w:ascii="Tahoma" w:hAnsi="Tahoma" w:cs="Tahoma"/>
          <w:sz w:val="22"/>
          <w:szCs w:val="22"/>
        </w:rPr>
        <w:tab/>
        <w:t>II. sz. Gondozási Központ</w:t>
      </w:r>
    </w:p>
    <w:p w14:paraId="38F34B0F" w14:textId="77777777" w:rsidR="00036C41" w:rsidRPr="00036C41" w:rsidRDefault="00036C41" w:rsidP="00036C41">
      <w:pPr>
        <w:jc w:val="both"/>
        <w:rPr>
          <w:rFonts w:ascii="Tahoma" w:hAnsi="Tahoma" w:cs="Tahoma"/>
          <w:sz w:val="22"/>
          <w:szCs w:val="22"/>
        </w:rPr>
      </w:pPr>
      <w:r w:rsidRPr="00036C41">
        <w:rPr>
          <w:rFonts w:ascii="Tahoma" w:hAnsi="Tahoma" w:cs="Tahoma"/>
          <w:sz w:val="22"/>
          <w:szCs w:val="22"/>
        </w:rPr>
        <w:t>11.</w:t>
      </w:r>
      <w:r w:rsidRPr="00036C41">
        <w:rPr>
          <w:rFonts w:ascii="Tahoma" w:hAnsi="Tahoma" w:cs="Tahoma"/>
          <w:sz w:val="22"/>
          <w:szCs w:val="22"/>
        </w:rPr>
        <w:tab/>
        <w:t>Kabóca Bábszínház</w:t>
      </w:r>
    </w:p>
    <w:p w14:paraId="68936207" w14:textId="77777777" w:rsidR="00036C41" w:rsidRPr="00036C41" w:rsidRDefault="00036C41" w:rsidP="00036C41">
      <w:pPr>
        <w:jc w:val="both"/>
        <w:rPr>
          <w:rFonts w:ascii="Tahoma" w:hAnsi="Tahoma" w:cs="Tahoma"/>
          <w:sz w:val="22"/>
          <w:szCs w:val="22"/>
        </w:rPr>
      </w:pPr>
      <w:r w:rsidRPr="00036C41">
        <w:rPr>
          <w:rFonts w:ascii="Tahoma" w:hAnsi="Tahoma" w:cs="Tahoma"/>
          <w:sz w:val="22"/>
          <w:szCs w:val="22"/>
        </w:rPr>
        <w:t>12.</w:t>
      </w:r>
      <w:r w:rsidRPr="00036C41">
        <w:rPr>
          <w:rFonts w:ascii="Tahoma" w:hAnsi="Tahoma" w:cs="Tahoma"/>
          <w:sz w:val="22"/>
          <w:szCs w:val="22"/>
        </w:rPr>
        <w:tab/>
        <w:t>Laczkó Dezső Múzeum</w:t>
      </w:r>
    </w:p>
    <w:p w14:paraId="79248FBD" w14:textId="77777777" w:rsidR="00036C41" w:rsidRPr="00036C41" w:rsidRDefault="00036C41" w:rsidP="00036C41">
      <w:pPr>
        <w:jc w:val="both"/>
        <w:rPr>
          <w:rFonts w:ascii="Tahoma" w:hAnsi="Tahoma" w:cs="Tahoma"/>
          <w:sz w:val="22"/>
          <w:szCs w:val="22"/>
        </w:rPr>
      </w:pPr>
      <w:r w:rsidRPr="00036C41">
        <w:rPr>
          <w:rFonts w:ascii="Tahoma" w:hAnsi="Tahoma" w:cs="Tahoma"/>
          <w:sz w:val="22"/>
          <w:szCs w:val="22"/>
        </w:rPr>
        <w:t>13.</w:t>
      </w:r>
      <w:r w:rsidRPr="00036C41">
        <w:rPr>
          <w:rFonts w:ascii="Tahoma" w:hAnsi="Tahoma" w:cs="Tahoma"/>
          <w:sz w:val="22"/>
          <w:szCs w:val="22"/>
        </w:rPr>
        <w:tab/>
        <w:t>Veszprémi Városi Stadion tornász gyakorló</w:t>
      </w:r>
    </w:p>
    <w:p w14:paraId="0AAB46C4" w14:textId="77777777" w:rsidR="00036C41" w:rsidRPr="00036C41" w:rsidRDefault="00036C41" w:rsidP="00036C41">
      <w:pPr>
        <w:jc w:val="both"/>
        <w:rPr>
          <w:rFonts w:ascii="Tahoma" w:hAnsi="Tahoma" w:cs="Tahoma"/>
          <w:sz w:val="22"/>
          <w:szCs w:val="22"/>
        </w:rPr>
      </w:pPr>
      <w:r w:rsidRPr="00036C41">
        <w:rPr>
          <w:rFonts w:ascii="Tahoma" w:hAnsi="Tahoma" w:cs="Tahoma"/>
          <w:sz w:val="22"/>
          <w:szCs w:val="22"/>
        </w:rPr>
        <w:t>14.</w:t>
      </w:r>
      <w:r w:rsidRPr="00036C41">
        <w:rPr>
          <w:rFonts w:ascii="Tahoma" w:hAnsi="Tahoma" w:cs="Tahoma"/>
          <w:sz w:val="22"/>
          <w:szCs w:val="22"/>
        </w:rPr>
        <w:tab/>
        <w:t>Veszprémi Bóbita Körzeti Óvoda</w:t>
      </w:r>
    </w:p>
    <w:p w14:paraId="67C67F7A" w14:textId="77777777" w:rsidR="00036C41" w:rsidRPr="00036C41" w:rsidRDefault="00036C41" w:rsidP="00036C41">
      <w:pPr>
        <w:jc w:val="both"/>
        <w:rPr>
          <w:rFonts w:ascii="Tahoma" w:hAnsi="Tahoma" w:cs="Tahoma"/>
          <w:sz w:val="22"/>
          <w:szCs w:val="22"/>
        </w:rPr>
      </w:pPr>
      <w:r w:rsidRPr="00036C41">
        <w:rPr>
          <w:rFonts w:ascii="Tahoma" w:hAnsi="Tahoma" w:cs="Tahoma"/>
          <w:sz w:val="22"/>
          <w:szCs w:val="22"/>
        </w:rPr>
        <w:t>15.</w:t>
      </w:r>
      <w:r w:rsidRPr="00036C41">
        <w:rPr>
          <w:rFonts w:ascii="Tahoma" w:hAnsi="Tahoma" w:cs="Tahoma"/>
          <w:sz w:val="22"/>
          <w:szCs w:val="22"/>
        </w:rPr>
        <w:tab/>
        <w:t>Veszprémi Bóbita Körzeti Óvoda Hársfa Tagóvoda</w:t>
      </w:r>
    </w:p>
    <w:p w14:paraId="451566F4" w14:textId="77777777" w:rsidR="00036C41" w:rsidRPr="00036C41" w:rsidRDefault="00036C41" w:rsidP="00036C41">
      <w:pPr>
        <w:jc w:val="both"/>
        <w:rPr>
          <w:rFonts w:ascii="Tahoma" w:hAnsi="Tahoma" w:cs="Tahoma"/>
          <w:sz w:val="22"/>
          <w:szCs w:val="22"/>
        </w:rPr>
      </w:pPr>
      <w:r w:rsidRPr="00036C41">
        <w:rPr>
          <w:rFonts w:ascii="Tahoma" w:hAnsi="Tahoma" w:cs="Tahoma"/>
          <w:sz w:val="22"/>
          <w:szCs w:val="22"/>
        </w:rPr>
        <w:t>16.</w:t>
      </w:r>
      <w:r w:rsidRPr="00036C41">
        <w:rPr>
          <w:rFonts w:ascii="Tahoma" w:hAnsi="Tahoma" w:cs="Tahoma"/>
          <w:sz w:val="22"/>
          <w:szCs w:val="22"/>
        </w:rPr>
        <w:tab/>
        <w:t>Veszprémi Csillag Úti Körzeti Óvoda</w:t>
      </w:r>
    </w:p>
    <w:p w14:paraId="611B6D3D" w14:textId="77777777" w:rsidR="00036C41" w:rsidRPr="00036C41" w:rsidRDefault="00036C41" w:rsidP="00036C41">
      <w:pPr>
        <w:jc w:val="both"/>
        <w:rPr>
          <w:rFonts w:ascii="Tahoma" w:hAnsi="Tahoma" w:cs="Tahoma"/>
          <w:sz w:val="22"/>
          <w:szCs w:val="22"/>
        </w:rPr>
      </w:pPr>
      <w:r w:rsidRPr="00036C41">
        <w:rPr>
          <w:rFonts w:ascii="Tahoma" w:hAnsi="Tahoma" w:cs="Tahoma"/>
          <w:sz w:val="22"/>
          <w:szCs w:val="22"/>
        </w:rPr>
        <w:t>17.</w:t>
      </w:r>
      <w:r w:rsidRPr="00036C41">
        <w:rPr>
          <w:rFonts w:ascii="Tahoma" w:hAnsi="Tahoma" w:cs="Tahoma"/>
          <w:sz w:val="22"/>
          <w:szCs w:val="22"/>
        </w:rPr>
        <w:tab/>
        <w:t>Veszprémi Egry Úti Körzeti Óvoda</w:t>
      </w:r>
    </w:p>
    <w:p w14:paraId="743AABC0" w14:textId="77777777" w:rsidR="00036C41" w:rsidRPr="00036C41" w:rsidRDefault="00036C41" w:rsidP="00036C41">
      <w:pPr>
        <w:jc w:val="both"/>
        <w:rPr>
          <w:rFonts w:ascii="Tahoma" w:hAnsi="Tahoma" w:cs="Tahoma"/>
          <w:sz w:val="22"/>
          <w:szCs w:val="22"/>
        </w:rPr>
      </w:pPr>
      <w:r w:rsidRPr="00036C41">
        <w:rPr>
          <w:rFonts w:ascii="Tahoma" w:hAnsi="Tahoma" w:cs="Tahoma"/>
          <w:sz w:val="22"/>
          <w:szCs w:val="22"/>
        </w:rPr>
        <w:t>18.</w:t>
      </w:r>
      <w:r w:rsidRPr="00036C41">
        <w:rPr>
          <w:rFonts w:ascii="Tahoma" w:hAnsi="Tahoma" w:cs="Tahoma"/>
          <w:sz w:val="22"/>
          <w:szCs w:val="22"/>
        </w:rPr>
        <w:tab/>
        <w:t>Veszprémi Egry Úti Körzeti Óvoda Nárcisz Tagóvoda</w:t>
      </w:r>
    </w:p>
    <w:p w14:paraId="09DBE8DA" w14:textId="77777777" w:rsidR="00036C41" w:rsidRPr="00036C41" w:rsidRDefault="00036C41" w:rsidP="00036C41">
      <w:pPr>
        <w:jc w:val="both"/>
        <w:rPr>
          <w:rFonts w:ascii="Tahoma" w:hAnsi="Tahoma" w:cs="Tahoma"/>
          <w:sz w:val="22"/>
          <w:szCs w:val="22"/>
        </w:rPr>
      </w:pPr>
      <w:r w:rsidRPr="00036C41">
        <w:rPr>
          <w:rFonts w:ascii="Tahoma" w:hAnsi="Tahoma" w:cs="Tahoma"/>
          <w:sz w:val="22"/>
          <w:szCs w:val="22"/>
        </w:rPr>
        <w:t>19.</w:t>
      </w:r>
      <w:r w:rsidRPr="00036C41">
        <w:rPr>
          <w:rFonts w:ascii="Tahoma" w:hAnsi="Tahoma" w:cs="Tahoma"/>
          <w:sz w:val="22"/>
          <w:szCs w:val="22"/>
        </w:rPr>
        <w:tab/>
        <w:t>Veszprémi Kastélykert Körzeti Óvoda</w:t>
      </w:r>
    </w:p>
    <w:p w14:paraId="5480AFA9" w14:textId="77777777" w:rsidR="00036C41" w:rsidRPr="00036C41" w:rsidRDefault="00036C41" w:rsidP="00036C41">
      <w:pPr>
        <w:jc w:val="both"/>
        <w:rPr>
          <w:rFonts w:ascii="Tahoma" w:hAnsi="Tahoma" w:cs="Tahoma"/>
          <w:sz w:val="22"/>
          <w:szCs w:val="22"/>
        </w:rPr>
      </w:pPr>
      <w:r w:rsidRPr="00036C41">
        <w:rPr>
          <w:rFonts w:ascii="Tahoma" w:hAnsi="Tahoma" w:cs="Tahoma"/>
          <w:sz w:val="22"/>
          <w:szCs w:val="22"/>
        </w:rPr>
        <w:t>20.</w:t>
      </w:r>
      <w:r w:rsidRPr="00036C41">
        <w:rPr>
          <w:rFonts w:ascii="Tahoma" w:hAnsi="Tahoma" w:cs="Tahoma"/>
          <w:sz w:val="22"/>
          <w:szCs w:val="22"/>
        </w:rPr>
        <w:tab/>
        <w:t xml:space="preserve">Veszprémi Kastélykert Körzeti Óvoda </w:t>
      </w:r>
      <w:proofErr w:type="spellStart"/>
      <w:r w:rsidRPr="00036C41">
        <w:rPr>
          <w:rFonts w:ascii="Tahoma" w:hAnsi="Tahoma" w:cs="Tahoma"/>
          <w:sz w:val="22"/>
          <w:szCs w:val="22"/>
        </w:rPr>
        <w:t>Ficánka</w:t>
      </w:r>
      <w:proofErr w:type="spellEnd"/>
      <w:r w:rsidRPr="00036C41">
        <w:rPr>
          <w:rFonts w:ascii="Tahoma" w:hAnsi="Tahoma" w:cs="Tahoma"/>
          <w:sz w:val="22"/>
          <w:szCs w:val="22"/>
        </w:rPr>
        <w:t xml:space="preserve"> Tagóvoda</w:t>
      </w:r>
    </w:p>
    <w:p w14:paraId="67DFD6A3" w14:textId="77777777" w:rsidR="00036C41" w:rsidRPr="00036C41" w:rsidRDefault="00036C41" w:rsidP="00036C41">
      <w:pPr>
        <w:jc w:val="both"/>
        <w:rPr>
          <w:rFonts w:ascii="Tahoma" w:hAnsi="Tahoma" w:cs="Tahoma"/>
          <w:sz w:val="22"/>
          <w:szCs w:val="22"/>
        </w:rPr>
      </w:pPr>
      <w:r w:rsidRPr="00036C41">
        <w:rPr>
          <w:rFonts w:ascii="Tahoma" w:hAnsi="Tahoma" w:cs="Tahoma"/>
          <w:sz w:val="22"/>
          <w:szCs w:val="22"/>
        </w:rPr>
        <w:t>21.</w:t>
      </w:r>
      <w:r w:rsidRPr="00036C41">
        <w:rPr>
          <w:rFonts w:ascii="Tahoma" w:hAnsi="Tahoma" w:cs="Tahoma"/>
          <w:sz w:val="22"/>
          <w:szCs w:val="22"/>
        </w:rPr>
        <w:tab/>
        <w:t>Veszprémi Petőfi Színház</w:t>
      </w:r>
    </w:p>
    <w:p w14:paraId="113A08CE" w14:textId="77777777" w:rsidR="00036C41" w:rsidRPr="00036C41" w:rsidRDefault="00036C41" w:rsidP="00036C41">
      <w:pPr>
        <w:jc w:val="both"/>
        <w:rPr>
          <w:rFonts w:ascii="Tahoma" w:hAnsi="Tahoma" w:cs="Tahoma"/>
          <w:sz w:val="22"/>
          <w:szCs w:val="22"/>
        </w:rPr>
      </w:pPr>
      <w:r w:rsidRPr="00036C41">
        <w:rPr>
          <w:rFonts w:ascii="Tahoma" w:hAnsi="Tahoma" w:cs="Tahoma"/>
          <w:sz w:val="22"/>
          <w:szCs w:val="22"/>
        </w:rPr>
        <w:t>22.</w:t>
      </w:r>
      <w:r w:rsidRPr="00036C41">
        <w:rPr>
          <w:rFonts w:ascii="Tahoma" w:hAnsi="Tahoma" w:cs="Tahoma"/>
          <w:sz w:val="22"/>
          <w:szCs w:val="22"/>
        </w:rPr>
        <w:tab/>
        <w:t>Veszprémi Ringató Körzeti Óvoda</w:t>
      </w:r>
    </w:p>
    <w:p w14:paraId="7A70754A" w14:textId="77777777" w:rsidR="00036C41" w:rsidRPr="00036C41" w:rsidRDefault="00036C41" w:rsidP="00036C41">
      <w:pPr>
        <w:jc w:val="both"/>
        <w:rPr>
          <w:rFonts w:ascii="Tahoma" w:hAnsi="Tahoma" w:cs="Tahoma"/>
          <w:sz w:val="22"/>
          <w:szCs w:val="22"/>
        </w:rPr>
      </w:pPr>
      <w:r w:rsidRPr="00036C41">
        <w:rPr>
          <w:rFonts w:ascii="Tahoma" w:hAnsi="Tahoma" w:cs="Tahoma"/>
          <w:sz w:val="22"/>
          <w:szCs w:val="22"/>
        </w:rPr>
        <w:t>23.</w:t>
      </w:r>
      <w:r w:rsidRPr="00036C41">
        <w:rPr>
          <w:rFonts w:ascii="Tahoma" w:hAnsi="Tahoma" w:cs="Tahoma"/>
          <w:sz w:val="22"/>
          <w:szCs w:val="22"/>
        </w:rPr>
        <w:tab/>
        <w:t>Veszprémi Vadvirág Körzeti Óvoda</w:t>
      </w:r>
    </w:p>
    <w:p w14:paraId="3C2FD4C8" w14:textId="77777777" w:rsidR="00036C41" w:rsidRDefault="00036C41" w:rsidP="00036C41">
      <w:pPr>
        <w:jc w:val="both"/>
        <w:rPr>
          <w:rFonts w:ascii="Tahoma" w:hAnsi="Tahoma" w:cs="Tahoma"/>
          <w:sz w:val="22"/>
          <w:szCs w:val="22"/>
        </w:rPr>
      </w:pPr>
    </w:p>
    <w:p w14:paraId="0F2BE60C" w14:textId="399C1C55" w:rsidR="00F55B08" w:rsidRDefault="00036C41" w:rsidP="00036C41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</w:t>
      </w:r>
      <w:r w:rsidRPr="00036C41">
        <w:rPr>
          <w:rFonts w:ascii="Tahoma" w:hAnsi="Tahoma" w:cs="Tahoma"/>
          <w:sz w:val="22"/>
          <w:szCs w:val="22"/>
        </w:rPr>
        <w:t xml:space="preserve"> projektben a kiválasztott épület</w:t>
      </w:r>
      <w:r>
        <w:rPr>
          <w:rFonts w:ascii="Tahoma" w:hAnsi="Tahoma" w:cs="Tahoma"/>
          <w:sz w:val="22"/>
          <w:szCs w:val="22"/>
        </w:rPr>
        <w:t>ek</w:t>
      </w:r>
      <w:r w:rsidRPr="00036C41">
        <w:rPr>
          <w:rFonts w:ascii="Tahoma" w:hAnsi="Tahoma" w:cs="Tahoma"/>
          <w:sz w:val="22"/>
          <w:szCs w:val="22"/>
        </w:rPr>
        <w:t xml:space="preserve">ben kizárólag </w:t>
      </w:r>
      <w:r>
        <w:rPr>
          <w:rFonts w:ascii="Tahoma" w:hAnsi="Tahoma" w:cs="Tahoma"/>
          <w:sz w:val="22"/>
          <w:szCs w:val="22"/>
        </w:rPr>
        <w:t xml:space="preserve">az </w:t>
      </w:r>
      <w:r w:rsidRPr="00036C41">
        <w:rPr>
          <w:rFonts w:ascii="Tahoma" w:hAnsi="Tahoma" w:cs="Tahoma"/>
          <w:sz w:val="22"/>
          <w:szCs w:val="22"/>
        </w:rPr>
        <w:t xml:space="preserve">energetikai mérési rendszer </w:t>
      </w:r>
      <w:r>
        <w:rPr>
          <w:rFonts w:ascii="Tahoma" w:hAnsi="Tahoma" w:cs="Tahoma"/>
          <w:sz w:val="22"/>
          <w:szCs w:val="22"/>
        </w:rPr>
        <w:t>kiépítésének alapfeltételeként szükséges szerelési munkák és eszközbeszerzések kerülnek megvalósításra</w:t>
      </w:r>
      <w:r w:rsidRPr="00036C41">
        <w:rPr>
          <w:rFonts w:ascii="Tahoma" w:hAnsi="Tahoma" w:cs="Tahoma"/>
          <w:sz w:val="22"/>
          <w:szCs w:val="22"/>
        </w:rPr>
        <w:t xml:space="preserve">, amik az épületben található fő betáplálások mellet almérők telepítését foglalja magába. Ennek ellenére a kiépítendő mérési rendszer sajátosságaiból adódóan – köszönhetően a tervezett hálózati struktúrának – a későbbiekben egy másik forrásból vagy önerőből könnyebben integrálhatóvá válnak </w:t>
      </w:r>
      <w:r>
        <w:rPr>
          <w:rFonts w:ascii="Tahoma" w:hAnsi="Tahoma" w:cs="Tahoma"/>
          <w:sz w:val="22"/>
          <w:szCs w:val="22"/>
        </w:rPr>
        <w:t>az épületek egy központi irányítási és</w:t>
      </w:r>
      <w:r w:rsidRPr="00036C41">
        <w:rPr>
          <w:rFonts w:ascii="Tahoma" w:hAnsi="Tahoma" w:cs="Tahoma"/>
          <w:sz w:val="22"/>
          <w:szCs w:val="22"/>
        </w:rPr>
        <w:t xml:space="preserve"> vezérlés</w:t>
      </w:r>
      <w:r>
        <w:rPr>
          <w:rFonts w:ascii="Tahoma" w:hAnsi="Tahoma" w:cs="Tahoma"/>
          <w:sz w:val="22"/>
          <w:szCs w:val="22"/>
        </w:rPr>
        <w:t xml:space="preserve">i rendszerbe </w:t>
      </w:r>
      <w:r w:rsidRPr="00036C41">
        <w:rPr>
          <w:rFonts w:ascii="Tahoma" w:hAnsi="Tahoma" w:cs="Tahoma"/>
          <w:sz w:val="22"/>
          <w:szCs w:val="22"/>
        </w:rPr>
        <w:t>is. Az épületben található jelenleg használt mérőórák önállóan nem alkalmasak arra, hogy egy központi rendszerhez csatlakozzanak, így a fogyasztások pontos nyomon követéséhez további mérőberendezések és jelfeldolgozó eszközök telepítése szükséges. Az energetikai mérési rendszer kiépítése összesen 58 db különálló mérési pontot foglal</w:t>
      </w:r>
      <w:r w:rsidR="001B232B">
        <w:rPr>
          <w:rFonts w:ascii="Tahoma" w:hAnsi="Tahoma" w:cs="Tahoma"/>
          <w:sz w:val="22"/>
          <w:szCs w:val="22"/>
        </w:rPr>
        <w:t>n</w:t>
      </w:r>
      <w:r w:rsidRPr="00036C41">
        <w:rPr>
          <w:rFonts w:ascii="Tahoma" w:hAnsi="Tahoma" w:cs="Tahoma"/>
          <w:sz w:val="22"/>
          <w:szCs w:val="22"/>
        </w:rPr>
        <w:t xml:space="preserve">a magában. További cél a kiépített napelem rendszerek bevonása a tervezett energetikai menedzsment rendszerbe. </w:t>
      </w:r>
    </w:p>
    <w:p w14:paraId="7754F578" w14:textId="77777777" w:rsidR="00036C41" w:rsidRDefault="00036C41" w:rsidP="00036C41">
      <w:pPr>
        <w:jc w:val="both"/>
        <w:rPr>
          <w:rFonts w:ascii="Tahoma" w:hAnsi="Tahoma" w:cs="Tahoma"/>
          <w:sz w:val="22"/>
          <w:szCs w:val="22"/>
        </w:rPr>
      </w:pPr>
    </w:p>
    <w:p w14:paraId="31363A26" w14:textId="1DC277DE" w:rsidR="00036C41" w:rsidRDefault="000A389D" w:rsidP="00036C41">
      <w:pPr>
        <w:jc w:val="both"/>
        <w:rPr>
          <w:rFonts w:ascii="Tahoma" w:hAnsi="Tahoma" w:cs="Tahoma"/>
          <w:sz w:val="22"/>
          <w:szCs w:val="22"/>
        </w:rPr>
      </w:pPr>
      <w:r w:rsidRPr="000A389D">
        <w:rPr>
          <w:rFonts w:ascii="Tahoma" w:hAnsi="Tahoma" w:cs="Tahoma"/>
          <w:sz w:val="22"/>
          <w:szCs w:val="22"/>
        </w:rPr>
        <w:t xml:space="preserve">Az élhető, klímatudatos és családbarát város ma már elképzelhetetlen korszerű, fenntartható helyi közösségi közlekedés nélkül. Veszprém ezen a területen is halad Európa élmezőnye felé: a Veszprém Megyei Jogú Város Önkormányzatának 100%-os tulajdonában lévő V-Busz Kft. 2019-től látja el a közösségi közlekedési közszolgáltatásokat, az Önkormányzat saját erőből </w:t>
      </w:r>
      <w:proofErr w:type="spellStart"/>
      <w:r w:rsidRPr="000A389D">
        <w:rPr>
          <w:rFonts w:ascii="Tahoma" w:hAnsi="Tahoma" w:cs="Tahoma"/>
          <w:sz w:val="22"/>
          <w:szCs w:val="22"/>
        </w:rPr>
        <w:t>teljeskörűen</w:t>
      </w:r>
      <w:proofErr w:type="spellEnd"/>
      <w:r w:rsidRPr="000A389D">
        <w:rPr>
          <w:rFonts w:ascii="Tahoma" w:hAnsi="Tahoma" w:cs="Tahoma"/>
          <w:sz w:val="22"/>
          <w:szCs w:val="22"/>
        </w:rPr>
        <w:t xml:space="preserve"> megújította autóbuszflottáját 2022-re. A Zöld Busz Program keretében 2022 és 2024 között beszerzett 7 db tisztán elektromos autóbusszal pedig a közösségi közlekedés teljesítményének több mint 15%-a kibocsátásmentes városunkban.</w:t>
      </w:r>
    </w:p>
    <w:p w14:paraId="6775D42A" w14:textId="77777777" w:rsidR="000A389D" w:rsidRDefault="000A389D" w:rsidP="00036C41">
      <w:pPr>
        <w:jc w:val="both"/>
        <w:rPr>
          <w:rFonts w:ascii="Tahoma" w:hAnsi="Tahoma" w:cs="Tahoma"/>
          <w:sz w:val="22"/>
          <w:szCs w:val="22"/>
        </w:rPr>
      </w:pPr>
    </w:p>
    <w:p w14:paraId="71E64DBD" w14:textId="35C47634" w:rsidR="000A389D" w:rsidRDefault="000A389D" w:rsidP="00036C41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A V-Busz Kft. nyertes pályázattal és </w:t>
      </w:r>
      <w:r w:rsidR="002D2727">
        <w:rPr>
          <w:rFonts w:ascii="Tahoma" w:hAnsi="Tahoma" w:cs="Tahoma"/>
          <w:sz w:val="22"/>
          <w:szCs w:val="22"/>
        </w:rPr>
        <w:t xml:space="preserve">2025. október 16-án kelt </w:t>
      </w:r>
      <w:r>
        <w:rPr>
          <w:rFonts w:ascii="Tahoma" w:hAnsi="Tahoma" w:cs="Tahoma"/>
          <w:sz w:val="22"/>
          <w:szCs w:val="22"/>
        </w:rPr>
        <w:t>támogatói döntéssel rendelkezik</w:t>
      </w:r>
      <w:r w:rsidR="002D2727">
        <w:rPr>
          <w:rFonts w:ascii="Tahoma" w:hAnsi="Tahoma" w:cs="Tahoma"/>
          <w:sz w:val="22"/>
          <w:szCs w:val="22"/>
        </w:rPr>
        <w:t xml:space="preserve"> a </w:t>
      </w:r>
      <w:r w:rsidR="002D2727" w:rsidRPr="002D2727">
        <w:rPr>
          <w:rFonts w:ascii="Tahoma" w:hAnsi="Tahoma" w:cs="Tahoma"/>
          <w:sz w:val="22"/>
          <w:szCs w:val="22"/>
        </w:rPr>
        <w:t>Haszkovó úti buszforduló területén</w:t>
      </w:r>
      <w:r w:rsidR="002D2727">
        <w:rPr>
          <w:rFonts w:ascii="Tahoma" w:hAnsi="Tahoma" w:cs="Tahoma"/>
          <w:sz w:val="22"/>
          <w:szCs w:val="22"/>
        </w:rPr>
        <w:t xml:space="preserve"> egy </w:t>
      </w:r>
      <w:r w:rsidR="002D2727" w:rsidRPr="002D2727">
        <w:rPr>
          <w:rFonts w:ascii="Tahoma" w:hAnsi="Tahoma" w:cs="Tahoma"/>
          <w:sz w:val="22"/>
          <w:szCs w:val="22"/>
        </w:rPr>
        <w:t xml:space="preserve">komplex energetikai rendszer kialakításra, ami lehetővé </w:t>
      </w:r>
      <w:r w:rsidR="002D2727" w:rsidRPr="002D2727">
        <w:rPr>
          <w:rFonts w:ascii="Tahoma" w:hAnsi="Tahoma" w:cs="Tahoma"/>
          <w:sz w:val="22"/>
          <w:szCs w:val="22"/>
        </w:rPr>
        <w:lastRenderedPageBreak/>
        <w:t>teszi az elektromos buszok védett helyen történő töltését (legfeljebb 10 db autóbusz), megújuló energia felhasználását (napelem), valamint a megtermelt, illetve beszerzett energia helyben (vagy az üzemi terület közvetlen környezetében) történő tárolását (energiatároló)</w:t>
      </w:r>
      <w:r w:rsidR="0093404E">
        <w:rPr>
          <w:rFonts w:ascii="Tahoma" w:hAnsi="Tahoma" w:cs="Tahoma"/>
          <w:sz w:val="22"/>
          <w:szCs w:val="22"/>
        </w:rPr>
        <w:t>.</w:t>
      </w:r>
    </w:p>
    <w:p w14:paraId="4DAFB97E" w14:textId="77777777" w:rsidR="0093404E" w:rsidRDefault="0093404E" w:rsidP="00036C41">
      <w:pPr>
        <w:jc w:val="both"/>
        <w:rPr>
          <w:rFonts w:ascii="Tahoma" w:hAnsi="Tahoma" w:cs="Tahoma"/>
          <w:sz w:val="22"/>
          <w:szCs w:val="22"/>
        </w:rPr>
      </w:pPr>
    </w:p>
    <w:p w14:paraId="3130ABB9" w14:textId="644FFB80" w:rsidR="000A389D" w:rsidRDefault="002D2727" w:rsidP="00036C41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A támogatási döntés alapján a nyertes pályázat megvalósítása során 1,3 milliárd forint </w:t>
      </w:r>
      <w:r w:rsidR="00F358AF">
        <w:rPr>
          <w:rFonts w:ascii="Tahoma" w:hAnsi="Tahoma" w:cs="Tahoma"/>
          <w:sz w:val="22"/>
          <w:szCs w:val="22"/>
        </w:rPr>
        <w:t xml:space="preserve">állami </w:t>
      </w:r>
      <w:r>
        <w:rPr>
          <w:rFonts w:ascii="Tahoma" w:hAnsi="Tahoma" w:cs="Tahoma"/>
          <w:sz w:val="22"/>
          <w:szCs w:val="22"/>
        </w:rPr>
        <w:t xml:space="preserve">támogatás lehívására van lehetősége a </w:t>
      </w:r>
      <w:proofErr w:type="spellStart"/>
      <w:r>
        <w:rPr>
          <w:rFonts w:ascii="Tahoma" w:hAnsi="Tahoma" w:cs="Tahoma"/>
          <w:sz w:val="22"/>
          <w:szCs w:val="22"/>
        </w:rPr>
        <w:t>Kft</w:t>
      </w:r>
      <w:r w:rsidR="0093404E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>-nek</w:t>
      </w:r>
      <w:proofErr w:type="spellEnd"/>
      <w:r>
        <w:rPr>
          <w:rFonts w:ascii="Tahoma" w:hAnsi="Tahoma" w:cs="Tahoma"/>
          <w:sz w:val="22"/>
          <w:szCs w:val="22"/>
        </w:rPr>
        <w:t xml:space="preserve"> a fejlesztés energetikai célú beruházási feladataina</w:t>
      </w:r>
      <w:r w:rsidR="0093404E">
        <w:rPr>
          <w:rFonts w:ascii="Tahoma" w:hAnsi="Tahoma" w:cs="Tahoma"/>
          <w:sz w:val="22"/>
          <w:szCs w:val="22"/>
        </w:rPr>
        <w:t>k</w:t>
      </w:r>
      <w:r>
        <w:rPr>
          <w:rFonts w:ascii="Tahoma" w:hAnsi="Tahoma" w:cs="Tahoma"/>
          <w:sz w:val="22"/>
          <w:szCs w:val="22"/>
        </w:rPr>
        <w:t xml:space="preserve"> elvégzésére. A helyszínen szükséges további, nem energetikai célú fejlesztési elemek finanszírozhatósága érdekében vizsgáljuk annak a lehetőségét, hogy az </w:t>
      </w:r>
      <w:r w:rsidR="0093404E">
        <w:rPr>
          <w:rFonts w:ascii="Tahoma" w:hAnsi="Tahoma" w:cs="Tahoma"/>
          <w:sz w:val="22"/>
          <w:szCs w:val="22"/>
        </w:rPr>
        <w:t>Ö</w:t>
      </w:r>
      <w:r>
        <w:rPr>
          <w:rFonts w:ascii="Tahoma" w:hAnsi="Tahoma" w:cs="Tahoma"/>
          <w:sz w:val="22"/>
          <w:szCs w:val="22"/>
        </w:rPr>
        <w:t>nkormányzat a TOP+ pályázati keretből biztosítsa a közel 700 millió forintos beruházási nagyságú részhez a fedezetet, amely elengedhetetlenül szükséges a telephely teljeskörű kialakítása érdekében.</w:t>
      </w:r>
    </w:p>
    <w:p w14:paraId="50CCCDC1" w14:textId="77777777" w:rsidR="002D2727" w:rsidRDefault="002D2727" w:rsidP="00036C41">
      <w:pPr>
        <w:jc w:val="both"/>
        <w:rPr>
          <w:rFonts w:ascii="Tahoma" w:hAnsi="Tahoma" w:cs="Tahoma"/>
          <w:sz w:val="22"/>
          <w:szCs w:val="22"/>
        </w:rPr>
      </w:pPr>
    </w:p>
    <w:p w14:paraId="218362FD" w14:textId="77777777" w:rsidR="000A389D" w:rsidRDefault="000A389D" w:rsidP="00036C41">
      <w:pPr>
        <w:jc w:val="both"/>
        <w:rPr>
          <w:rFonts w:ascii="Tahoma" w:hAnsi="Tahoma" w:cs="Tahoma"/>
          <w:sz w:val="22"/>
          <w:szCs w:val="22"/>
        </w:rPr>
      </w:pPr>
    </w:p>
    <w:p w14:paraId="424446E0" w14:textId="77777777" w:rsidR="00036C41" w:rsidRDefault="00036C41" w:rsidP="00036C41">
      <w:pPr>
        <w:jc w:val="both"/>
        <w:rPr>
          <w:rFonts w:ascii="Tahoma" w:hAnsi="Tahoma" w:cs="Tahoma"/>
          <w:sz w:val="22"/>
          <w:szCs w:val="22"/>
        </w:rPr>
      </w:pPr>
    </w:p>
    <w:p w14:paraId="3963CFB2" w14:textId="535A8BBC" w:rsidR="00036C41" w:rsidRPr="005E23C0" w:rsidRDefault="00036C41" w:rsidP="00036C41">
      <w:pPr>
        <w:jc w:val="both"/>
        <w:rPr>
          <w:rFonts w:ascii="Tahoma" w:hAnsi="Tahoma" w:cs="Tahoma"/>
          <w:sz w:val="22"/>
          <w:szCs w:val="22"/>
        </w:rPr>
        <w:sectPr w:rsidR="00036C41" w:rsidRPr="005E23C0" w:rsidSect="006A1E43">
          <w:footerReference w:type="default" r:id="rId10"/>
          <w:footerReference w:type="first" r:id="rId11"/>
          <w:pgSz w:w="12240" w:h="15840"/>
          <w:pgMar w:top="851" w:right="1417" w:bottom="1417" w:left="1417" w:header="708" w:footer="708" w:gutter="0"/>
          <w:cols w:space="708"/>
          <w:noEndnote/>
          <w:titlePg/>
          <w:docGrid w:linePitch="326"/>
        </w:sectPr>
      </w:pPr>
    </w:p>
    <w:p w14:paraId="1138BA79" w14:textId="507157F1" w:rsidR="00E002F6" w:rsidRPr="0067137E" w:rsidRDefault="006459B5" w:rsidP="00E002F6">
      <w:pPr>
        <w:spacing w:after="200"/>
        <w:contextualSpacing/>
        <w:jc w:val="both"/>
        <w:rPr>
          <w:rFonts w:ascii="Tahoma" w:hAnsi="Tahoma" w:cs="Tahoma"/>
          <w:sz w:val="22"/>
          <w:szCs w:val="22"/>
        </w:rPr>
      </w:pPr>
      <w:r w:rsidRPr="0067137E">
        <w:rPr>
          <w:rFonts w:ascii="Tahoma" w:hAnsi="Tahoma" w:cs="Tahoma"/>
          <w:sz w:val="22"/>
          <w:szCs w:val="22"/>
        </w:rPr>
        <w:lastRenderedPageBreak/>
        <w:t>7</w:t>
      </w:r>
      <w:r w:rsidR="00E002F6" w:rsidRPr="0067137E">
        <w:rPr>
          <w:rFonts w:ascii="Tahoma" w:hAnsi="Tahoma" w:cs="Tahoma"/>
          <w:sz w:val="22"/>
          <w:szCs w:val="22"/>
        </w:rPr>
        <w:t>. számú táblázat: Veszprém Megyei Jogú Város TOP Plusz városfejlesztési programterve (2021-2027 időszak)</w:t>
      </w:r>
      <w:r w:rsidR="00FC0D64" w:rsidRPr="0067137E">
        <w:rPr>
          <w:rFonts w:ascii="Tahoma" w:hAnsi="Tahoma" w:cs="Tahoma"/>
          <w:sz w:val="22"/>
          <w:szCs w:val="22"/>
        </w:rPr>
        <w:t xml:space="preserve"> alapján benyújtott pályázatok</w:t>
      </w:r>
    </w:p>
    <w:p w14:paraId="485669D5" w14:textId="77777777" w:rsidR="00E002F6" w:rsidRPr="005E23C0" w:rsidRDefault="00E002F6" w:rsidP="00E002F6">
      <w:pPr>
        <w:spacing w:after="160" w:line="259" w:lineRule="auto"/>
        <w:rPr>
          <w:rFonts w:ascii="Tahoma" w:hAnsi="Tahoma" w:cs="Tahoma"/>
          <w:sz w:val="22"/>
          <w:szCs w:val="22"/>
        </w:rPr>
      </w:pPr>
    </w:p>
    <w:p w14:paraId="3626DADC" w14:textId="77777777" w:rsidR="00E002F6" w:rsidRPr="005E23C0" w:rsidRDefault="00E002F6" w:rsidP="00E002F6">
      <w:pPr>
        <w:spacing w:after="160" w:line="259" w:lineRule="auto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t>TOP Plusz 1. prioritás (ERFA) Élhető vármegye:</w:t>
      </w:r>
    </w:p>
    <w:p w14:paraId="0BA6F288" w14:textId="77777777" w:rsidR="00E002F6" w:rsidRPr="005E23C0" w:rsidRDefault="00E002F6" w:rsidP="00E002F6">
      <w:pPr>
        <w:spacing w:after="160" w:line="259" w:lineRule="auto"/>
        <w:rPr>
          <w:rFonts w:ascii="Tahoma" w:hAnsi="Tahoma" w:cs="Tahoma"/>
          <w:sz w:val="22"/>
          <w:szCs w:val="22"/>
        </w:rPr>
      </w:pPr>
    </w:p>
    <w:tbl>
      <w:tblPr>
        <w:tblW w:w="131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0"/>
        <w:gridCol w:w="3932"/>
        <w:gridCol w:w="1576"/>
        <w:gridCol w:w="6360"/>
      </w:tblGrid>
      <w:tr w:rsidR="005E23C0" w:rsidRPr="005E23C0" w14:paraId="3A503D1F" w14:textId="77777777" w:rsidTr="002E3A8B">
        <w:trPr>
          <w:trHeight w:val="697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DB2ABC0" w14:textId="77777777" w:rsidR="00817EE1" w:rsidRPr="005E23C0" w:rsidRDefault="00817EE1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04F3D2" w14:textId="077E9E4F" w:rsidR="00817EE1" w:rsidRPr="005E23C0" w:rsidRDefault="003825D7" w:rsidP="003825D7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5E23C0">
              <w:rPr>
                <w:rFonts w:ascii="Tahoma" w:hAnsi="Tahoma" w:cs="Tahoma"/>
                <w:b/>
                <w:bCs/>
                <w:sz w:val="22"/>
                <w:szCs w:val="22"/>
              </w:rPr>
              <w:t>Támogatási szerződés: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</w:tcPr>
          <w:p w14:paraId="700A6580" w14:textId="642CDA7F" w:rsidR="00817EE1" w:rsidRPr="005E23C0" w:rsidRDefault="003825D7" w:rsidP="003825D7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5E23C0">
              <w:rPr>
                <w:rFonts w:ascii="Tahoma" w:hAnsi="Tahoma" w:cs="Tahoma"/>
                <w:b/>
                <w:bCs/>
                <w:sz w:val="22"/>
                <w:szCs w:val="22"/>
              </w:rPr>
              <w:t>Támogatási összeg Ft-ban: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E4D1C4" w14:textId="5A00B744" w:rsidR="00817EE1" w:rsidRPr="005E23C0" w:rsidRDefault="003825D7" w:rsidP="003825D7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5E23C0">
              <w:rPr>
                <w:rFonts w:ascii="Tahoma" w:hAnsi="Tahoma" w:cs="Tahoma"/>
                <w:b/>
                <w:bCs/>
                <w:sz w:val="22"/>
                <w:szCs w:val="22"/>
              </w:rPr>
              <w:t>Megjegyzés:</w:t>
            </w:r>
          </w:p>
        </w:tc>
      </w:tr>
      <w:tr w:rsidR="005E23C0" w:rsidRPr="005E23C0" w14:paraId="0E68828A" w14:textId="77777777" w:rsidTr="002E3A8B">
        <w:trPr>
          <w:trHeight w:val="1121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460332" w14:textId="77777777" w:rsidR="00817EE1" w:rsidRPr="005E23C0" w:rsidRDefault="00817EE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1.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D5036" w14:textId="05D2CFB1" w:rsidR="00817EE1" w:rsidRPr="005E23C0" w:rsidRDefault="003825D7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TOP_PLUSZ-1.3.1-21-VE1-2022-</w:t>
            </w:r>
            <w:r w:rsidRPr="005E23C0">
              <w:rPr>
                <w:rFonts w:ascii="Tahoma" w:hAnsi="Tahoma" w:cs="Tahoma"/>
                <w:sz w:val="22"/>
                <w:szCs w:val="22"/>
              </w:rPr>
              <w:br/>
              <w:t>00002</w:t>
            </w:r>
            <w:r w:rsidR="00817EE1" w:rsidRPr="005E23C0">
              <w:rPr>
                <w:rFonts w:ascii="Tahoma" w:hAnsi="Tahoma" w:cs="Tahoma"/>
                <w:sz w:val="22"/>
                <w:szCs w:val="22"/>
              </w:rPr>
              <w:t>Veszprém város fenntartható városfejlesztésistratégiái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2F3AE62F" w14:textId="77777777" w:rsidR="00817EE1" w:rsidRPr="005E23C0" w:rsidRDefault="00817EE1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79 999 620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D6641" w14:textId="17894C73" w:rsidR="00817EE1" w:rsidRPr="005E23C0" w:rsidRDefault="003825D7" w:rsidP="003825D7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Megvalósítás folyamatban</w:t>
            </w:r>
          </w:p>
        </w:tc>
      </w:tr>
      <w:tr w:rsidR="005E23C0" w:rsidRPr="005E23C0" w14:paraId="2F0EF3D7" w14:textId="77777777" w:rsidTr="002E3A8B">
        <w:trPr>
          <w:trHeight w:val="976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64A114" w14:textId="77777777" w:rsidR="00817EE1" w:rsidRPr="005E23C0" w:rsidRDefault="00817EE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bookmarkStart w:id="13" w:name="_Hlk213068563"/>
            <w:r w:rsidRPr="005E23C0">
              <w:rPr>
                <w:rFonts w:ascii="Tahoma" w:hAnsi="Tahoma" w:cs="Tahoma"/>
                <w:sz w:val="22"/>
                <w:szCs w:val="22"/>
              </w:rPr>
              <w:t>2.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65490" w14:textId="77777777" w:rsidR="00817EE1" w:rsidRPr="005E23C0" w:rsidRDefault="00817EE1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TOP_PLUSZ-1.3.2-23-VP1-2025-00002</w:t>
            </w:r>
            <w:r w:rsidRPr="005E23C0">
              <w:rPr>
                <w:rFonts w:ascii="Tahoma" w:hAnsi="Tahoma" w:cs="Tahoma"/>
                <w:sz w:val="22"/>
                <w:szCs w:val="22"/>
              </w:rPr>
              <w:br/>
              <w:t>Veszprém Aréna-Veszprém Sportuszoda közötti út építése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5546F29A" w14:textId="77777777" w:rsidR="00817EE1" w:rsidRPr="005E23C0" w:rsidRDefault="00817EE1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498 000 000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5D311" w14:textId="31D1BF37" w:rsidR="00817EE1" w:rsidRPr="005E23C0" w:rsidRDefault="003825D7" w:rsidP="003825D7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Megvalósítás folyamatban</w:t>
            </w:r>
          </w:p>
        </w:tc>
      </w:tr>
      <w:tr w:rsidR="005E23C0" w:rsidRPr="005E23C0" w14:paraId="584913D5" w14:textId="77777777" w:rsidTr="002E3A8B">
        <w:trPr>
          <w:trHeight w:val="834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AD4F93" w14:textId="77777777" w:rsidR="00817EE1" w:rsidRPr="005E23C0" w:rsidRDefault="00817EE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3.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658A0" w14:textId="77777777" w:rsidR="00817EE1" w:rsidRPr="005E23C0" w:rsidRDefault="00817EE1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TOP_PLUSZ-1.3.2-23-VP1-2025-00004</w:t>
            </w:r>
            <w:r w:rsidRPr="005E23C0">
              <w:rPr>
                <w:rFonts w:ascii="Tahoma" w:hAnsi="Tahoma" w:cs="Tahoma"/>
                <w:sz w:val="22"/>
                <w:szCs w:val="22"/>
              </w:rPr>
              <w:br/>
              <w:t>Kék infrastruktúra megújítása: korszerű csapadékvíz-gazdálkodás, az elvezetés javítása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6942BEED" w14:textId="77777777" w:rsidR="00817EE1" w:rsidRPr="005E23C0" w:rsidRDefault="00817EE1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2 335 276 351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36AE8" w14:textId="3175AA28" w:rsidR="00817EE1" w:rsidRPr="005E23C0" w:rsidRDefault="003825D7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Megvalósítás folyamatban</w:t>
            </w:r>
            <w:r w:rsidR="00A07063" w:rsidRPr="005E23C0">
              <w:rPr>
                <w:rFonts w:ascii="Tahoma" w:hAnsi="Tahoma" w:cs="Tahoma"/>
                <w:sz w:val="22"/>
                <w:szCs w:val="22"/>
              </w:rPr>
              <w:t>, ÉKM konzorciumi partner</w:t>
            </w:r>
          </w:p>
        </w:tc>
      </w:tr>
      <w:tr w:rsidR="005E23C0" w:rsidRPr="005E23C0" w14:paraId="3FE04D68" w14:textId="77777777" w:rsidTr="002E3A8B">
        <w:trPr>
          <w:trHeight w:val="705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8AAC26" w14:textId="77777777" w:rsidR="00817EE1" w:rsidRPr="005E23C0" w:rsidRDefault="00817EE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4.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CB2F5" w14:textId="77777777" w:rsidR="00817EE1" w:rsidRPr="005E23C0" w:rsidRDefault="00817EE1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TOP_PLUSZ-1.3.2-23-VP1-2025-00003</w:t>
            </w:r>
            <w:r w:rsidRPr="005E23C0">
              <w:rPr>
                <w:rFonts w:ascii="Tahoma" w:hAnsi="Tahoma" w:cs="Tahoma"/>
                <w:sz w:val="22"/>
                <w:szCs w:val="22"/>
              </w:rPr>
              <w:br/>
              <w:t>Mártírok úti parkolóház építése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5C4A087D" w14:textId="77777777" w:rsidR="00817EE1" w:rsidRPr="005E23C0" w:rsidRDefault="00817EE1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2 200 000 000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4990D" w14:textId="2A130A93" w:rsidR="00817EE1" w:rsidRPr="005E23C0" w:rsidRDefault="003825D7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Támogatási szerződéskötés folyamatban</w:t>
            </w:r>
            <w:r w:rsidR="00A07063" w:rsidRPr="005E23C0">
              <w:rPr>
                <w:rFonts w:ascii="Tahoma" w:hAnsi="Tahoma" w:cs="Tahoma"/>
                <w:sz w:val="22"/>
                <w:szCs w:val="22"/>
              </w:rPr>
              <w:t>, ÉKM konzorciumi partner</w:t>
            </w:r>
          </w:p>
        </w:tc>
      </w:tr>
      <w:tr w:rsidR="00A07063" w:rsidRPr="005E23C0" w14:paraId="5303A5C2" w14:textId="77777777" w:rsidTr="002E3A8B">
        <w:trPr>
          <w:trHeight w:val="576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665C7" w14:textId="77777777" w:rsidR="00817EE1" w:rsidRPr="005E23C0" w:rsidRDefault="00817EE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5.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75CDF" w14:textId="77777777" w:rsidR="00817EE1" w:rsidRPr="005E23C0" w:rsidRDefault="00817EE1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TOP_PLUSZ-1.3.2-23-VP1-2025-00001</w:t>
            </w:r>
            <w:r w:rsidRPr="005E23C0">
              <w:rPr>
                <w:rFonts w:ascii="Tahoma" w:hAnsi="Tahoma" w:cs="Tahoma"/>
                <w:sz w:val="22"/>
                <w:szCs w:val="22"/>
              </w:rPr>
              <w:br/>
              <w:t>Belterületi útfejlesztés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10C29701" w14:textId="77777777" w:rsidR="00817EE1" w:rsidRPr="005E23C0" w:rsidRDefault="00817EE1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2 682 705 788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7B97D" w14:textId="2CEC1E06" w:rsidR="00817EE1" w:rsidRPr="005E23C0" w:rsidRDefault="003825D7" w:rsidP="003825D7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Megvalósítás folyamatban</w:t>
            </w:r>
            <w:r w:rsidR="00A07063" w:rsidRPr="005E23C0">
              <w:rPr>
                <w:rFonts w:ascii="Tahoma" w:hAnsi="Tahoma" w:cs="Tahoma"/>
                <w:sz w:val="22"/>
                <w:szCs w:val="22"/>
              </w:rPr>
              <w:t>, ÉKM konzorciumi partner</w:t>
            </w:r>
          </w:p>
        </w:tc>
      </w:tr>
      <w:bookmarkEnd w:id="13"/>
    </w:tbl>
    <w:p w14:paraId="2FB1C861" w14:textId="77777777" w:rsidR="00E002F6" w:rsidRPr="005E23C0" w:rsidRDefault="00E002F6" w:rsidP="00E002F6">
      <w:pPr>
        <w:rPr>
          <w:rFonts w:ascii="Tahoma" w:hAnsi="Tahoma" w:cs="Tahoma"/>
          <w:b/>
          <w:bCs/>
          <w:sz w:val="22"/>
          <w:szCs w:val="22"/>
        </w:rPr>
      </w:pPr>
    </w:p>
    <w:p w14:paraId="5260FABE" w14:textId="629A9B52" w:rsidR="00E002F6" w:rsidRPr="005E23C0" w:rsidRDefault="00E002F6" w:rsidP="00E002F6">
      <w:pPr>
        <w:spacing w:after="160" w:line="259" w:lineRule="auto"/>
        <w:rPr>
          <w:rFonts w:ascii="Tahoma" w:hAnsi="Tahoma" w:cs="Tahoma"/>
          <w:b/>
          <w:bCs/>
          <w:sz w:val="22"/>
          <w:szCs w:val="22"/>
        </w:rPr>
      </w:pPr>
    </w:p>
    <w:p w14:paraId="6D802C21" w14:textId="77777777" w:rsidR="00E002F6" w:rsidRPr="005E23C0" w:rsidRDefault="00E002F6" w:rsidP="00E002F6">
      <w:pPr>
        <w:spacing w:after="160" w:line="259" w:lineRule="auto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t>TOP Plusz 2. prioritás (ERFA) Klímabarát vármegye:</w:t>
      </w:r>
    </w:p>
    <w:p w14:paraId="6929D769" w14:textId="2E7209A0" w:rsidR="00E002F6" w:rsidRPr="005E23C0" w:rsidRDefault="00A07063" w:rsidP="00E002F6">
      <w:pPr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t>Nem jelent meg pályázati felhívás ebben a prioritásban.</w:t>
      </w:r>
    </w:p>
    <w:p w14:paraId="4C8FF4B5" w14:textId="77777777" w:rsidR="00E002F6" w:rsidRPr="005E23C0" w:rsidRDefault="00E002F6" w:rsidP="00E002F6">
      <w:pPr>
        <w:rPr>
          <w:rFonts w:ascii="Tahoma" w:hAnsi="Tahoma" w:cs="Tahoma"/>
          <w:sz w:val="22"/>
          <w:szCs w:val="22"/>
        </w:rPr>
      </w:pPr>
    </w:p>
    <w:p w14:paraId="6F58AA8D" w14:textId="77777777" w:rsidR="00A07063" w:rsidRPr="005E23C0" w:rsidRDefault="00A07063" w:rsidP="00E002F6">
      <w:pPr>
        <w:spacing w:after="160" w:line="259" w:lineRule="auto"/>
        <w:rPr>
          <w:rFonts w:ascii="Tahoma" w:hAnsi="Tahoma" w:cs="Tahoma"/>
          <w:sz w:val="22"/>
          <w:szCs w:val="22"/>
        </w:rPr>
      </w:pPr>
    </w:p>
    <w:p w14:paraId="575C66CE" w14:textId="67095E84" w:rsidR="00E002F6" w:rsidRPr="005E23C0" w:rsidRDefault="00E002F6" w:rsidP="00E002F6">
      <w:pPr>
        <w:spacing w:after="160" w:line="259" w:lineRule="auto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lastRenderedPageBreak/>
        <w:t>TOP Plusz 3. prioritás (ESZA) Gondoskodó vármegye:</w:t>
      </w:r>
    </w:p>
    <w:tbl>
      <w:tblPr>
        <w:tblW w:w="131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0"/>
        <w:gridCol w:w="3932"/>
        <w:gridCol w:w="1576"/>
        <w:gridCol w:w="6360"/>
      </w:tblGrid>
      <w:tr w:rsidR="005E23C0" w:rsidRPr="005E23C0" w14:paraId="5E848866" w14:textId="77777777" w:rsidTr="002E3A8B">
        <w:trPr>
          <w:trHeight w:val="667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B904CDF" w14:textId="77777777" w:rsidR="00A07063" w:rsidRPr="005E23C0" w:rsidRDefault="00A07063" w:rsidP="00C704FB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1E793" w14:textId="77777777" w:rsidR="00A07063" w:rsidRPr="005E23C0" w:rsidRDefault="00A07063" w:rsidP="00C704FB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5E23C0">
              <w:rPr>
                <w:rFonts w:ascii="Tahoma" w:hAnsi="Tahoma" w:cs="Tahoma"/>
                <w:b/>
                <w:bCs/>
                <w:sz w:val="22"/>
                <w:szCs w:val="22"/>
              </w:rPr>
              <w:t>Támogatási szerződés: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</w:tcPr>
          <w:p w14:paraId="6A7DD947" w14:textId="77777777" w:rsidR="00A07063" w:rsidRPr="005E23C0" w:rsidRDefault="00A07063" w:rsidP="00C704FB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5E23C0">
              <w:rPr>
                <w:rFonts w:ascii="Tahoma" w:hAnsi="Tahoma" w:cs="Tahoma"/>
                <w:b/>
                <w:bCs/>
                <w:sz w:val="22"/>
                <w:szCs w:val="22"/>
              </w:rPr>
              <w:t>Támogatási összeg Ft-ban: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0561C4" w14:textId="77777777" w:rsidR="00A07063" w:rsidRPr="005E23C0" w:rsidRDefault="00A07063" w:rsidP="00C704FB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5E23C0">
              <w:rPr>
                <w:rFonts w:ascii="Tahoma" w:hAnsi="Tahoma" w:cs="Tahoma"/>
                <w:b/>
                <w:bCs/>
                <w:sz w:val="22"/>
                <w:szCs w:val="22"/>
              </w:rPr>
              <w:t>Megjegyzés:</w:t>
            </w:r>
          </w:p>
        </w:tc>
      </w:tr>
      <w:tr w:rsidR="007209DF" w:rsidRPr="005E23C0" w14:paraId="75055943" w14:textId="77777777" w:rsidTr="002E3A8B">
        <w:trPr>
          <w:trHeight w:val="1074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7195FC" w14:textId="77777777" w:rsidR="004B4902" w:rsidRPr="005E23C0" w:rsidRDefault="004B4902" w:rsidP="004B49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1.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3B1BA" w14:textId="56F29FFD" w:rsidR="004B4902" w:rsidRPr="005E23C0" w:rsidRDefault="004B4902" w:rsidP="004B4902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TOP_PLUSZ-3.2.1-23-VP1-2025-00001 "Veszprém felemel" Fenntartható humán fejlesztések Veszprémben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</w:tcPr>
          <w:p w14:paraId="2215E37F" w14:textId="34F0A326" w:rsidR="004B4902" w:rsidRPr="005E23C0" w:rsidRDefault="004B4902" w:rsidP="004B4902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1 036 000 000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53815" w14:textId="43A7DEF0" w:rsidR="004B4902" w:rsidRPr="005E23C0" w:rsidRDefault="004B4902" w:rsidP="004B4902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Megvalósítás folyamatban, konzorciumi partnerek VVI Kft</w:t>
            </w:r>
            <w:r w:rsidR="008B0234">
              <w:rPr>
                <w:rFonts w:ascii="Tahoma" w:hAnsi="Tahoma" w:cs="Tahoma"/>
                <w:sz w:val="22"/>
                <w:szCs w:val="22"/>
              </w:rPr>
              <w:t>.</w:t>
            </w:r>
            <w:r w:rsidRPr="005E23C0">
              <w:rPr>
                <w:rFonts w:ascii="Tahoma" w:hAnsi="Tahoma" w:cs="Tahoma"/>
                <w:sz w:val="22"/>
                <w:szCs w:val="22"/>
              </w:rPr>
              <w:t xml:space="preserve">, </w:t>
            </w:r>
            <w:r w:rsidR="00FC0D64" w:rsidRPr="005E23C0">
              <w:rPr>
                <w:rFonts w:ascii="Tahoma" w:hAnsi="Tahoma" w:cs="Tahoma"/>
                <w:sz w:val="22"/>
                <w:szCs w:val="22"/>
              </w:rPr>
              <w:t xml:space="preserve">Veszprémi </w:t>
            </w:r>
            <w:r w:rsidRPr="005E23C0">
              <w:rPr>
                <w:rFonts w:ascii="Tahoma" w:hAnsi="Tahoma" w:cs="Tahoma"/>
                <w:sz w:val="22"/>
                <w:szCs w:val="22"/>
              </w:rPr>
              <w:t xml:space="preserve">Családsegítő, </w:t>
            </w:r>
            <w:r w:rsidR="00FC0D64" w:rsidRPr="005E23C0">
              <w:rPr>
                <w:rFonts w:ascii="Tahoma" w:hAnsi="Tahoma" w:cs="Tahoma"/>
                <w:sz w:val="22"/>
                <w:szCs w:val="22"/>
              </w:rPr>
              <w:t xml:space="preserve">ADA Egyesület, </w:t>
            </w:r>
            <w:proofErr w:type="spellStart"/>
            <w:r w:rsidR="00FC0D64" w:rsidRPr="005E23C0">
              <w:rPr>
                <w:rFonts w:ascii="Tahoma" w:hAnsi="Tahoma" w:cs="Tahoma"/>
                <w:sz w:val="22"/>
                <w:szCs w:val="22"/>
              </w:rPr>
              <w:t>AutiSpektrum</w:t>
            </w:r>
            <w:proofErr w:type="spellEnd"/>
            <w:r w:rsidR="00FC0D64" w:rsidRPr="005E23C0">
              <w:rPr>
                <w:rFonts w:ascii="Tahoma" w:hAnsi="Tahoma" w:cs="Tahoma"/>
                <w:sz w:val="22"/>
                <w:szCs w:val="22"/>
              </w:rPr>
              <w:t xml:space="preserve"> Egyesület</w:t>
            </w:r>
          </w:p>
        </w:tc>
      </w:tr>
    </w:tbl>
    <w:p w14:paraId="0EE0C960" w14:textId="77777777" w:rsidR="00E002F6" w:rsidRPr="005E23C0" w:rsidRDefault="00E002F6" w:rsidP="00E002F6">
      <w:pPr>
        <w:spacing w:after="160" w:line="259" w:lineRule="auto"/>
        <w:rPr>
          <w:rFonts w:ascii="Tahoma" w:hAnsi="Tahoma" w:cs="Tahoma"/>
          <w:sz w:val="22"/>
          <w:szCs w:val="22"/>
        </w:rPr>
      </w:pPr>
    </w:p>
    <w:p w14:paraId="3D0B3194" w14:textId="77777777" w:rsidR="00E002F6" w:rsidRPr="005E23C0" w:rsidRDefault="00E002F6" w:rsidP="00E002F6">
      <w:pPr>
        <w:jc w:val="both"/>
        <w:rPr>
          <w:rFonts w:ascii="Tahoma" w:hAnsi="Tahoma" w:cs="Tahoma"/>
          <w:sz w:val="22"/>
          <w:szCs w:val="22"/>
          <w:highlight w:val="green"/>
        </w:rPr>
      </w:pPr>
    </w:p>
    <w:p w14:paraId="6840229A" w14:textId="73E51889" w:rsidR="00E002F6" w:rsidRPr="005E23C0" w:rsidRDefault="00E002F6" w:rsidP="00E002F6">
      <w:pPr>
        <w:spacing w:after="160" w:line="259" w:lineRule="auto"/>
        <w:rPr>
          <w:rFonts w:ascii="Tahoma" w:hAnsi="Tahoma" w:cs="Tahoma"/>
          <w:sz w:val="22"/>
          <w:szCs w:val="22"/>
          <w:highlight w:val="green"/>
        </w:rPr>
      </w:pPr>
      <w:r w:rsidRPr="005E23C0">
        <w:rPr>
          <w:rFonts w:ascii="Tahoma" w:hAnsi="Tahoma" w:cs="Tahoma"/>
          <w:sz w:val="22"/>
          <w:szCs w:val="22"/>
        </w:rPr>
        <w:t>TOP Plusz 3. prioritás (ERFA) Gondoskodó vármegye:</w:t>
      </w:r>
    </w:p>
    <w:p w14:paraId="7F7C5977" w14:textId="77777777" w:rsidR="00E002F6" w:rsidRPr="005E23C0" w:rsidRDefault="00E002F6" w:rsidP="00E002F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131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3"/>
        <w:gridCol w:w="4197"/>
        <w:gridCol w:w="1559"/>
        <w:gridCol w:w="6379"/>
      </w:tblGrid>
      <w:tr w:rsidR="005E23C0" w:rsidRPr="005E23C0" w14:paraId="02DF2B13" w14:textId="77777777" w:rsidTr="002E3A8B">
        <w:trPr>
          <w:trHeight w:val="70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A8FE2FC" w14:textId="77777777" w:rsidR="007209DF" w:rsidRPr="005E23C0" w:rsidRDefault="007209DF" w:rsidP="00C704FB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3CC5D" w14:textId="77777777" w:rsidR="007209DF" w:rsidRPr="005E23C0" w:rsidRDefault="007209DF" w:rsidP="00C704FB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5E23C0">
              <w:rPr>
                <w:rFonts w:ascii="Tahoma" w:hAnsi="Tahoma" w:cs="Tahoma"/>
                <w:b/>
                <w:bCs/>
                <w:sz w:val="22"/>
                <w:szCs w:val="22"/>
              </w:rPr>
              <w:t>Támogatási szerződés: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</w:tcPr>
          <w:p w14:paraId="15C3FE81" w14:textId="77777777" w:rsidR="007209DF" w:rsidRPr="005E23C0" w:rsidRDefault="007209DF" w:rsidP="00C704FB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5E23C0">
              <w:rPr>
                <w:rFonts w:ascii="Tahoma" w:hAnsi="Tahoma" w:cs="Tahoma"/>
                <w:b/>
                <w:bCs/>
                <w:sz w:val="22"/>
                <w:szCs w:val="22"/>
              </w:rPr>
              <w:t>Támogatási összeg Ft-ban: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0751F0" w14:textId="77777777" w:rsidR="007209DF" w:rsidRPr="005E23C0" w:rsidRDefault="007209DF" w:rsidP="00C704FB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5E23C0">
              <w:rPr>
                <w:rFonts w:ascii="Tahoma" w:hAnsi="Tahoma" w:cs="Tahoma"/>
                <w:b/>
                <w:bCs/>
                <w:sz w:val="22"/>
                <w:szCs w:val="22"/>
              </w:rPr>
              <w:t>Megjegyzés:</w:t>
            </w:r>
          </w:p>
        </w:tc>
      </w:tr>
      <w:tr w:rsidR="005E23C0" w:rsidRPr="005E23C0" w14:paraId="18B862AB" w14:textId="77777777" w:rsidTr="002E3A8B">
        <w:trPr>
          <w:trHeight w:val="113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8424EF" w14:textId="77777777" w:rsidR="007209DF" w:rsidRPr="005E23C0" w:rsidRDefault="007209DF" w:rsidP="007209D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1.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9C509" w14:textId="3684147D" w:rsidR="007209DF" w:rsidRPr="005E23C0" w:rsidRDefault="007209DF" w:rsidP="007209DF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TOP_PLUSZ-3.4.1-23-VP1-2025-00003</w:t>
            </w:r>
            <w:r w:rsidRPr="005E23C0">
              <w:rPr>
                <w:rFonts w:ascii="Tahoma" w:hAnsi="Tahoma" w:cs="Tahoma"/>
                <w:sz w:val="22"/>
                <w:szCs w:val="22"/>
              </w:rPr>
              <w:br/>
              <w:t>Mentálhigiénés nappali ellátás</w:t>
            </w:r>
            <w:r w:rsidRPr="005E23C0">
              <w:rPr>
                <w:rFonts w:ascii="Tahoma" w:hAnsi="Tahoma" w:cs="Tahoma"/>
                <w:sz w:val="22"/>
                <w:szCs w:val="22"/>
              </w:rPr>
              <w:br/>
              <w:t>kiépítése a Török Ignác utcai</w:t>
            </w:r>
            <w:r w:rsidRPr="005E23C0">
              <w:rPr>
                <w:rFonts w:ascii="Tahoma" w:hAnsi="Tahoma" w:cs="Tahoma"/>
                <w:sz w:val="22"/>
                <w:szCs w:val="22"/>
              </w:rPr>
              <w:br/>
              <w:t>idősellátó egységhez kapcsolódóan</w:t>
            </w:r>
            <w:r w:rsidRPr="005E23C0">
              <w:rPr>
                <w:rFonts w:ascii="Tahoma" w:hAnsi="Tahoma" w:cs="Tahoma"/>
                <w:sz w:val="22"/>
                <w:szCs w:val="22"/>
              </w:rPr>
              <w:br/>
              <w:t>A Hóvirág utcai idősellátás</w:t>
            </w:r>
            <w:r w:rsidRPr="005E23C0">
              <w:rPr>
                <w:rFonts w:ascii="Tahoma" w:hAnsi="Tahoma" w:cs="Tahoma"/>
                <w:sz w:val="22"/>
                <w:szCs w:val="22"/>
              </w:rPr>
              <w:br/>
              <w:t>korszerűsítése, demens nappali</w:t>
            </w:r>
            <w:r w:rsidRPr="005E23C0">
              <w:rPr>
                <w:rFonts w:ascii="Tahoma" w:hAnsi="Tahoma" w:cs="Tahoma"/>
                <w:sz w:val="22"/>
                <w:szCs w:val="22"/>
              </w:rPr>
              <w:br/>
              <w:t>mentálhigiénés ellátás feltételrendszerének kialakításával</w:t>
            </w:r>
            <w:r w:rsidRPr="005E23C0">
              <w:rPr>
                <w:rFonts w:ascii="Tahoma" w:hAnsi="Tahoma" w:cs="Tahoma"/>
                <w:sz w:val="22"/>
                <w:szCs w:val="22"/>
              </w:rPr>
              <w:br/>
              <w:t>(EPTK-ban rögzített cím: Idősellátás fejlesztése Veszprémben - Török Ignác u. és Hóvirág u.)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7E58BD70" w14:textId="62EE74DE" w:rsidR="007209DF" w:rsidRPr="005E23C0" w:rsidRDefault="007209DF" w:rsidP="007209DF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1 416 024 321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8635B" w14:textId="77777777" w:rsidR="007209DF" w:rsidRPr="005E23C0" w:rsidRDefault="007209DF" w:rsidP="007209DF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Megvalósítás folyamatban</w:t>
            </w:r>
          </w:p>
        </w:tc>
      </w:tr>
      <w:tr w:rsidR="005E23C0" w:rsidRPr="005E23C0" w14:paraId="43F67658" w14:textId="77777777" w:rsidTr="002E3A8B">
        <w:trPr>
          <w:trHeight w:val="987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ADEDF8" w14:textId="77777777" w:rsidR="007209DF" w:rsidRPr="005E23C0" w:rsidRDefault="007209DF" w:rsidP="007209D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2.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F379B" w14:textId="1AE3680C" w:rsidR="007209DF" w:rsidRPr="005E23C0" w:rsidRDefault="007209DF" w:rsidP="007209DF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TOP_PLUSZ-3.4.1-23-VP1-2025-00005</w:t>
            </w:r>
            <w:r w:rsidRPr="005E23C0">
              <w:rPr>
                <w:rFonts w:ascii="Tahoma" w:hAnsi="Tahoma" w:cs="Tahoma"/>
                <w:sz w:val="22"/>
                <w:szCs w:val="22"/>
              </w:rPr>
              <w:br/>
              <w:t>Új nappali foglalkoztató létesítése fogyatékkal élők felnőttek számára a Kőhíd utcában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44552088" w14:textId="2FD62073" w:rsidR="007209DF" w:rsidRPr="005E23C0" w:rsidRDefault="007209DF" w:rsidP="007209DF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688 012 161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DD87A" w14:textId="77777777" w:rsidR="007209DF" w:rsidRPr="005E23C0" w:rsidRDefault="007209DF" w:rsidP="007209DF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Megvalósítás folyamatban</w:t>
            </w:r>
          </w:p>
        </w:tc>
      </w:tr>
      <w:tr w:rsidR="005E23C0" w:rsidRPr="005E23C0" w14:paraId="63CBDBAE" w14:textId="77777777" w:rsidTr="002E3A8B">
        <w:trPr>
          <w:trHeight w:val="845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26E662" w14:textId="77777777" w:rsidR="007209DF" w:rsidRPr="005E23C0" w:rsidRDefault="007209DF" w:rsidP="007209D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lastRenderedPageBreak/>
              <w:t>3.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12454" w14:textId="4875A64A" w:rsidR="007209DF" w:rsidRPr="005E23C0" w:rsidRDefault="007209DF" w:rsidP="007209DF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 xml:space="preserve">TOP_PLUSZ-3.4.1-23-VP1-2025-00004 </w:t>
            </w:r>
            <w:r w:rsidRPr="005E23C0">
              <w:rPr>
                <w:rFonts w:ascii="Tahoma" w:hAnsi="Tahoma" w:cs="Tahoma"/>
                <w:sz w:val="22"/>
                <w:szCs w:val="22"/>
              </w:rPr>
              <w:br/>
              <w:t>Veszprém Vármegyei Pedagógiai Szakszolgálat Cholnoky utcai telephelyének fejlesztése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25BB857B" w14:textId="18BBC427" w:rsidR="007209DF" w:rsidRPr="005E23C0" w:rsidRDefault="007209DF" w:rsidP="007209DF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160 000 000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FC86CB" w14:textId="04B89403" w:rsidR="007209DF" w:rsidRPr="005E23C0" w:rsidRDefault="007209DF" w:rsidP="007209DF">
            <w:pPr>
              <w:rPr>
                <w:rFonts w:ascii="Tahoma" w:hAnsi="Tahoma" w:cs="Tahoma"/>
                <w:sz w:val="22"/>
                <w:szCs w:val="22"/>
              </w:rPr>
            </w:pPr>
            <w:bookmarkStart w:id="14" w:name="_Hlk212035876"/>
            <w:r w:rsidRPr="005E23C0">
              <w:rPr>
                <w:rFonts w:ascii="Tahoma" w:hAnsi="Tahoma" w:cs="Tahoma"/>
                <w:sz w:val="22"/>
                <w:szCs w:val="22"/>
              </w:rPr>
              <w:t>Megvalósítás folyamatban, Veszprémi Tankerületi Központ konzorciumi partner</w:t>
            </w:r>
            <w:bookmarkEnd w:id="14"/>
          </w:p>
        </w:tc>
      </w:tr>
      <w:tr w:rsidR="005E23C0" w:rsidRPr="005E23C0" w14:paraId="76953FB7" w14:textId="77777777" w:rsidTr="002E3A8B">
        <w:trPr>
          <w:trHeight w:val="713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B79C6C" w14:textId="77777777" w:rsidR="007209DF" w:rsidRPr="005E23C0" w:rsidRDefault="007209DF" w:rsidP="007209D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4.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89888" w14:textId="789C4F00" w:rsidR="007209DF" w:rsidRPr="005E23C0" w:rsidRDefault="007209DF" w:rsidP="007209DF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TOP_PLUSZ-3.4.1-23-VP1-2025-00007 Rózsa Úti Általános Iskola részleges megújítása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50003CD9" w14:textId="62E6D129" w:rsidR="007209DF" w:rsidRPr="005E23C0" w:rsidRDefault="007209DF" w:rsidP="007209DF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128 417 277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B2773" w14:textId="4451A7C9" w:rsidR="007209DF" w:rsidRPr="005E23C0" w:rsidRDefault="007209DF" w:rsidP="007209DF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Megvalósítás folyamatban, Veszprémi Tankerületi Központ konzorciumi partner</w:t>
            </w:r>
          </w:p>
        </w:tc>
      </w:tr>
      <w:tr w:rsidR="005E23C0" w:rsidRPr="005E23C0" w14:paraId="6C2E4CCE" w14:textId="77777777" w:rsidTr="002E3A8B">
        <w:trPr>
          <w:trHeight w:val="69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BA409F" w14:textId="77777777" w:rsidR="007209DF" w:rsidRPr="005E23C0" w:rsidRDefault="007209DF" w:rsidP="007209D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5.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DF864" w14:textId="41307E22" w:rsidR="007209DF" w:rsidRPr="005E23C0" w:rsidRDefault="007209DF" w:rsidP="007209DF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TOP_PLUSZ-3.4.1-23-VP1-2025-00002 Gyulaffy László Német Nemzetiségi Nyelvoktató Általános Iskola részleges megújítása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443EEBFF" w14:textId="185BE473" w:rsidR="007209DF" w:rsidRPr="005E23C0" w:rsidRDefault="007209DF" w:rsidP="007209DF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303 609 375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F05D0B" w14:textId="625F854E" w:rsidR="007209DF" w:rsidRPr="005E23C0" w:rsidRDefault="007209DF" w:rsidP="007209DF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Megvalósítás folyamatban, Veszprémi Tankerületi Központ konzorciumi partner</w:t>
            </w:r>
          </w:p>
        </w:tc>
      </w:tr>
      <w:tr w:rsidR="005E23C0" w:rsidRPr="005E23C0" w14:paraId="489E837F" w14:textId="77777777" w:rsidTr="002E3A8B">
        <w:trPr>
          <w:trHeight w:val="69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C7348B9" w14:textId="58A03395" w:rsidR="007209DF" w:rsidRPr="005E23C0" w:rsidRDefault="007209DF" w:rsidP="007209D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6.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98BFE" w14:textId="41169537" w:rsidR="007209DF" w:rsidRPr="005E23C0" w:rsidRDefault="007209DF" w:rsidP="007209DF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 xml:space="preserve">TOP_PLUSZ-3.4.1-23-VP1-2025-00001 </w:t>
            </w:r>
            <w:r w:rsidRPr="005E23C0">
              <w:rPr>
                <w:rFonts w:ascii="Tahoma" w:hAnsi="Tahoma" w:cs="Tahoma"/>
                <w:sz w:val="22"/>
                <w:szCs w:val="22"/>
              </w:rPr>
              <w:br/>
            </w:r>
            <w:proofErr w:type="spellStart"/>
            <w:r w:rsidRPr="005E23C0">
              <w:rPr>
                <w:rFonts w:ascii="Tahoma" w:hAnsi="Tahoma" w:cs="Tahoma"/>
                <w:sz w:val="22"/>
                <w:szCs w:val="22"/>
              </w:rPr>
              <w:t>Hriszto</w:t>
            </w:r>
            <w:proofErr w:type="spellEnd"/>
            <w:r w:rsidRPr="005E23C0">
              <w:rPr>
                <w:rFonts w:ascii="Tahoma" w:hAnsi="Tahoma" w:cs="Tahoma"/>
                <w:sz w:val="22"/>
                <w:szCs w:val="22"/>
              </w:rPr>
              <w:t xml:space="preserve"> Botev Német Nemzetiségi Nyelvoktató Általános Iskola részleges megújítása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</w:tcPr>
          <w:p w14:paraId="123C5E40" w14:textId="1A6738D2" w:rsidR="007209DF" w:rsidRPr="005E23C0" w:rsidRDefault="007209DF" w:rsidP="007209DF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232 171 875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F881F6" w14:textId="0589E78B" w:rsidR="007209DF" w:rsidRPr="005E23C0" w:rsidRDefault="007209DF" w:rsidP="007209DF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Megvalósítás folyamatban, Veszprémi Tankerületi Központ konzorciumi partner</w:t>
            </w:r>
          </w:p>
        </w:tc>
      </w:tr>
      <w:tr w:rsidR="007209DF" w:rsidRPr="005E23C0" w14:paraId="2A824F85" w14:textId="77777777" w:rsidTr="002E3A8B">
        <w:trPr>
          <w:trHeight w:val="69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CF6ADCF" w14:textId="1B329BF2" w:rsidR="007209DF" w:rsidRPr="005E23C0" w:rsidRDefault="007209DF" w:rsidP="007209D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7.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698DF" w14:textId="04FBA1F7" w:rsidR="007209DF" w:rsidRPr="005E23C0" w:rsidRDefault="007209DF" w:rsidP="007209DF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TOP_PLUSZ-3.4.1-23-VP1-2025-00006</w:t>
            </w:r>
            <w:r w:rsidRPr="005E23C0">
              <w:rPr>
                <w:rFonts w:ascii="Tahoma" w:hAnsi="Tahoma" w:cs="Tahoma"/>
                <w:sz w:val="22"/>
                <w:szCs w:val="22"/>
              </w:rPr>
              <w:br/>
              <w:t>Cholnoky Jenő Általános Iskola részleges megújítása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</w:tcPr>
          <w:p w14:paraId="76D35F1A" w14:textId="448133C2" w:rsidR="007209DF" w:rsidRPr="005E23C0" w:rsidRDefault="007209DF" w:rsidP="007209DF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265 801 473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F45C36" w14:textId="168469AF" w:rsidR="007209DF" w:rsidRPr="005E23C0" w:rsidRDefault="007209DF" w:rsidP="007209DF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Megvalósítás folyamatban, Veszprémi Tankerületi Központ konzorciumi partner</w:t>
            </w:r>
          </w:p>
        </w:tc>
      </w:tr>
    </w:tbl>
    <w:p w14:paraId="2364E4C5" w14:textId="77777777" w:rsidR="00E002F6" w:rsidRPr="005E23C0" w:rsidRDefault="00E002F6" w:rsidP="00E002F6">
      <w:pPr>
        <w:jc w:val="both"/>
        <w:rPr>
          <w:rFonts w:ascii="Tahoma" w:hAnsi="Tahoma" w:cs="Tahoma"/>
          <w:sz w:val="22"/>
          <w:szCs w:val="22"/>
        </w:rPr>
      </w:pPr>
    </w:p>
    <w:p w14:paraId="70A92C82" w14:textId="4745648F" w:rsidR="00E002F6" w:rsidRPr="005E23C0" w:rsidRDefault="00E002F6" w:rsidP="00E002F6">
      <w:pPr>
        <w:spacing w:after="160" w:line="259" w:lineRule="auto"/>
        <w:rPr>
          <w:rFonts w:ascii="Tahoma" w:hAnsi="Tahoma" w:cs="Tahoma"/>
          <w:sz w:val="22"/>
          <w:szCs w:val="22"/>
        </w:rPr>
      </w:pPr>
    </w:p>
    <w:p w14:paraId="3BF903EB" w14:textId="5B182C1B" w:rsidR="00E002F6" w:rsidRPr="005E23C0" w:rsidRDefault="00902CAB" w:rsidP="00902CAB">
      <w:pPr>
        <w:spacing w:after="160" w:line="259" w:lineRule="auto"/>
        <w:rPr>
          <w:rFonts w:ascii="Tahoma" w:hAnsi="Tahoma" w:cs="Tahoma"/>
          <w:sz w:val="22"/>
          <w:szCs w:val="22"/>
        </w:rPr>
      </w:pPr>
      <w:r w:rsidRPr="005E23C0">
        <w:rPr>
          <w:rFonts w:ascii="Tahoma" w:hAnsi="Tahoma" w:cs="Tahoma"/>
          <w:sz w:val="22"/>
          <w:szCs w:val="22"/>
        </w:rPr>
        <w:br w:type="page"/>
      </w:r>
    </w:p>
    <w:p w14:paraId="3A67C320" w14:textId="2606C26D" w:rsidR="002719CA" w:rsidRPr="005E23C0" w:rsidRDefault="006459B5" w:rsidP="002719CA">
      <w:pPr>
        <w:jc w:val="both"/>
        <w:rPr>
          <w:rFonts w:ascii="Tahoma" w:eastAsia="Calibri" w:hAnsi="Tahoma" w:cs="Tahoma"/>
          <w:sz w:val="22"/>
          <w:szCs w:val="22"/>
        </w:rPr>
      </w:pPr>
      <w:r w:rsidRPr="006459B5">
        <w:rPr>
          <w:rFonts w:ascii="Tahoma" w:hAnsi="Tahoma" w:cs="Tahoma"/>
          <w:sz w:val="22"/>
          <w:szCs w:val="22"/>
        </w:rPr>
        <w:lastRenderedPageBreak/>
        <w:t>8.</w:t>
      </w:r>
      <w:r w:rsidR="002719CA" w:rsidRPr="006459B5">
        <w:rPr>
          <w:rFonts w:ascii="Tahoma" w:hAnsi="Tahoma" w:cs="Tahoma"/>
          <w:sz w:val="22"/>
          <w:szCs w:val="22"/>
        </w:rPr>
        <w:t xml:space="preserve"> számú táblázat: Veszprém Megyei Jogú Város Önkormányzatának a Versenyképes Járások Programban tervezett és egyéb forrásból támogatott</w:t>
      </w:r>
      <w:r w:rsidR="002719CA" w:rsidRPr="006459B5">
        <w:rPr>
          <w:rFonts w:ascii="Tahoma" w:eastAsia="Calibri" w:hAnsi="Tahoma" w:cs="Tahoma"/>
          <w:bCs/>
          <w:sz w:val="22"/>
          <w:szCs w:val="22"/>
        </w:rPr>
        <w:t xml:space="preserve"> </w:t>
      </w:r>
      <w:r w:rsidR="002719CA" w:rsidRPr="006459B5">
        <w:rPr>
          <w:rFonts w:ascii="Tahoma" w:hAnsi="Tahoma" w:cs="Tahoma"/>
          <w:sz w:val="22"/>
          <w:szCs w:val="22"/>
        </w:rPr>
        <w:t xml:space="preserve">önkormányzati </w:t>
      </w:r>
      <w:r w:rsidR="002719CA" w:rsidRPr="005E23C0">
        <w:rPr>
          <w:rFonts w:ascii="Tahoma" w:hAnsi="Tahoma" w:cs="Tahoma"/>
          <w:sz w:val="22"/>
          <w:szCs w:val="22"/>
        </w:rPr>
        <w:t>vagyont érintő folyamatban lévő beruházásai</w:t>
      </w:r>
      <w:r w:rsidR="002719CA" w:rsidRPr="005E23C0">
        <w:rPr>
          <w:rFonts w:ascii="Tahoma" w:eastAsia="Calibri" w:hAnsi="Tahoma" w:cs="Tahoma"/>
          <w:sz w:val="22"/>
          <w:szCs w:val="22"/>
        </w:rPr>
        <w:t>:</w:t>
      </w:r>
    </w:p>
    <w:p w14:paraId="3587EBA4" w14:textId="77777777" w:rsidR="002719CA" w:rsidRPr="005E23C0" w:rsidRDefault="002719CA"/>
    <w:tbl>
      <w:tblPr>
        <w:tblW w:w="138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0"/>
        <w:gridCol w:w="3932"/>
        <w:gridCol w:w="1576"/>
        <w:gridCol w:w="7069"/>
      </w:tblGrid>
      <w:tr w:rsidR="005E23C0" w:rsidRPr="005E23C0" w14:paraId="3AA27CC3" w14:textId="77777777" w:rsidTr="002E3A8B">
        <w:trPr>
          <w:trHeight w:val="697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B5EA12A" w14:textId="77777777" w:rsidR="002719CA" w:rsidRPr="005E23C0" w:rsidRDefault="002719CA" w:rsidP="00C704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9A77F" w14:textId="59D8B6DA" w:rsidR="002719CA" w:rsidRPr="005E23C0" w:rsidRDefault="002719CA" w:rsidP="00C704FB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Támogatás: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</w:tcPr>
          <w:p w14:paraId="727B6171" w14:textId="77777777" w:rsidR="002719CA" w:rsidRPr="005E23C0" w:rsidRDefault="002719CA" w:rsidP="00C704FB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Támogatási összeg Ft-ban:</w:t>
            </w:r>
          </w:p>
        </w:tc>
        <w:tc>
          <w:tcPr>
            <w:tcW w:w="7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560FA2" w14:textId="77777777" w:rsidR="002719CA" w:rsidRPr="005E23C0" w:rsidRDefault="002719CA" w:rsidP="00C704FB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Megjegyzés:</w:t>
            </w:r>
          </w:p>
        </w:tc>
      </w:tr>
      <w:tr w:rsidR="005E23C0" w:rsidRPr="005E23C0" w14:paraId="47EAE0BF" w14:textId="77777777" w:rsidTr="002E3A8B">
        <w:trPr>
          <w:trHeight w:val="1026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99268D" w14:textId="77777777" w:rsidR="002719CA" w:rsidRPr="005E23C0" w:rsidRDefault="002719CA" w:rsidP="00C704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1.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8B44F" w14:textId="70DD5014" w:rsidR="002719CA" w:rsidRPr="008B0234" w:rsidRDefault="002E3A8B" w:rsidP="00C704FB">
            <w:pPr>
              <w:rPr>
                <w:rFonts w:ascii="Tahoma" w:hAnsi="Tahoma" w:cs="Tahoma"/>
                <w:sz w:val="22"/>
                <w:szCs w:val="22"/>
                <w:highlight w:val="yellow"/>
              </w:rPr>
            </w:pPr>
            <w:r w:rsidRPr="00292D17">
              <w:rPr>
                <w:rFonts w:ascii="Tahoma" w:hAnsi="Tahoma" w:cs="Tahoma"/>
                <w:sz w:val="22"/>
                <w:szCs w:val="22"/>
              </w:rPr>
              <w:t>Kórházi rendelőintézet alagsori fogadótér felújítása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</w:tcPr>
          <w:p w14:paraId="09A5FEEA" w14:textId="1C85A21B" w:rsidR="002E3A8B" w:rsidRPr="005E23C0" w:rsidRDefault="002E3A8B" w:rsidP="002E3A8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140 000 000</w:t>
            </w:r>
          </w:p>
          <w:p w14:paraId="17DA004F" w14:textId="268ECF49" w:rsidR="00D167DA" w:rsidRPr="005E23C0" w:rsidRDefault="00D167DA" w:rsidP="00C704F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4AA6BA" w14:textId="637DD329" w:rsidR="002719CA" w:rsidRPr="005E23C0" w:rsidRDefault="002E3A8B" w:rsidP="00C704FB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Támogatási döntéssel rendelkezik</w:t>
            </w:r>
          </w:p>
        </w:tc>
      </w:tr>
      <w:tr w:rsidR="005E23C0" w:rsidRPr="005E23C0" w14:paraId="4FA2117D" w14:textId="77777777" w:rsidTr="002E3A8B">
        <w:trPr>
          <w:trHeight w:val="976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BCDB8D" w14:textId="77777777" w:rsidR="002719CA" w:rsidRPr="005E23C0" w:rsidRDefault="002719CA" w:rsidP="00C704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2.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F73BC" w14:textId="1F89F769" w:rsidR="002719CA" w:rsidRPr="005E23C0" w:rsidRDefault="00D167DA" w:rsidP="00C704FB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Felnőtt háziorvosi rendelők akadálymentesítése Veszprémben - VJP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</w:tcPr>
          <w:p w14:paraId="3D47C006" w14:textId="360C406A" w:rsidR="002719CA" w:rsidRPr="005E23C0" w:rsidRDefault="00D167DA" w:rsidP="00C704F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3</w:t>
            </w:r>
            <w:r w:rsidR="002E3A8B">
              <w:rPr>
                <w:rFonts w:ascii="Tahoma" w:hAnsi="Tahoma" w:cs="Tahoma"/>
                <w:sz w:val="22"/>
                <w:szCs w:val="22"/>
              </w:rPr>
              <w:t>9</w:t>
            </w:r>
            <w:r w:rsidRPr="005E23C0">
              <w:rPr>
                <w:rFonts w:ascii="Tahoma" w:hAnsi="Tahoma" w:cs="Tahoma"/>
                <w:sz w:val="22"/>
                <w:szCs w:val="22"/>
              </w:rPr>
              <w:t> 000 000</w:t>
            </w:r>
          </w:p>
        </w:tc>
        <w:tc>
          <w:tcPr>
            <w:tcW w:w="7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9E8006" w14:textId="2E70AA92" w:rsidR="002719CA" w:rsidRPr="005E23C0" w:rsidRDefault="00D167DA" w:rsidP="00C704FB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Támogatási döntéssel rendelkezik</w:t>
            </w:r>
          </w:p>
        </w:tc>
      </w:tr>
      <w:tr w:rsidR="002719CA" w:rsidRPr="005E23C0" w14:paraId="65EAA43C" w14:textId="77777777" w:rsidTr="002E3A8B">
        <w:trPr>
          <w:trHeight w:val="834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85C1CD" w14:textId="77777777" w:rsidR="002719CA" w:rsidRPr="005E23C0" w:rsidRDefault="002719CA" w:rsidP="00C704F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3.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8A3B4" w14:textId="6F5DB93E" w:rsidR="002719CA" w:rsidRPr="005E23C0" w:rsidRDefault="00D167DA" w:rsidP="00C704FB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 xml:space="preserve">Veszprém, Völgyikút u. 2. Idősek Otthona </w:t>
            </w:r>
            <w:proofErr w:type="spellStart"/>
            <w:r w:rsidRPr="005E23C0">
              <w:rPr>
                <w:rFonts w:ascii="Tahoma" w:hAnsi="Tahoma" w:cs="Tahoma"/>
                <w:sz w:val="22"/>
                <w:szCs w:val="22"/>
              </w:rPr>
              <w:t>klimatizálása</w:t>
            </w:r>
            <w:proofErr w:type="spellEnd"/>
            <w:r w:rsidRPr="005E23C0">
              <w:rPr>
                <w:rFonts w:ascii="Tahoma" w:hAnsi="Tahoma" w:cs="Tahoma"/>
                <w:sz w:val="22"/>
                <w:szCs w:val="22"/>
              </w:rPr>
              <w:t xml:space="preserve"> - VJP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</w:tcPr>
          <w:p w14:paraId="265CD5C8" w14:textId="0E7E8B59" w:rsidR="002719CA" w:rsidRPr="005E23C0" w:rsidRDefault="00D167DA" w:rsidP="00C704F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47 000 000</w:t>
            </w:r>
          </w:p>
        </w:tc>
        <w:tc>
          <w:tcPr>
            <w:tcW w:w="7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8225A2" w14:textId="68C7902F" w:rsidR="002719CA" w:rsidRPr="005E23C0" w:rsidRDefault="00D167DA" w:rsidP="00C704FB">
            <w:pPr>
              <w:rPr>
                <w:rFonts w:ascii="Tahoma" w:hAnsi="Tahoma" w:cs="Tahoma"/>
                <w:sz w:val="22"/>
                <w:szCs w:val="22"/>
              </w:rPr>
            </w:pPr>
            <w:r w:rsidRPr="005E23C0">
              <w:rPr>
                <w:rFonts w:ascii="Tahoma" w:hAnsi="Tahoma" w:cs="Tahoma"/>
                <w:sz w:val="22"/>
                <w:szCs w:val="22"/>
              </w:rPr>
              <w:t>Támogatási döntéssel rendelkezik</w:t>
            </w:r>
          </w:p>
        </w:tc>
      </w:tr>
    </w:tbl>
    <w:p w14:paraId="4CF0C266" w14:textId="77777777" w:rsidR="002719CA" w:rsidRPr="005E23C0" w:rsidRDefault="002719CA">
      <w:pPr>
        <w:rPr>
          <w:rFonts w:ascii="Tahoma" w:hAnsi="Tahoma" w:cs="Tahoma"/>
          <w:sz w:val="22"/>
          <w:szCs w:val="22"/>
        </w:rPr>
      </w:pPr>
    </w:p>
    <w:sectPr w:rsidR="002719CA" w:rsidRPr="005E23C0" w:rsidSect="008475D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427C7E" w14:textId="77777777" w:rsidR="008E78B1" w:rsidRDefault="008E78B1" w:rsidP="00E002F6">
      <w:r>
        <w:separator/>
      </w:r>
    </w:p>
  </w:endnote>
  <w:endnote w:type="continuationSeparator" w:id="0">
    <w:p w14:paraId="61D3B339" w14:textId="77777777" w:rsidR="008E78B1" w:rsidRDefault="008E78B1" w:rsidP="00E00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2533556"/>
      <w:docPartObj>
        <w:docPartGallery w:val="Page Numbers (Bottom of Page)"/>
        <w:docPartUnique/>
      </w:docPartObj>
    </w:sdtPr>
    <w:sdtEndPr/>
    <w:sdtContent>
      <w:p w14:paraId="32A25179" w14:textId="77777777" w:rsidR="00E002F6" w:rsidRDefault="00E002F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80C">
          <w:rPr>
            <w:noProof/>
          </w:rPr>
          <w:t>21</w:t>
        </w:r>
        <w:r>
          <w:fldChar w:fldCharType="end"/>
        </w:r>
      </w:p>
    </w:sdtContent>
  </w:sdt>
  <w:p w14:paraId="181C6521" w14:textId="77777777" w:rsidR="00E002F6" w:rsidRDefault="00E002F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461848"/>
      <w:docPartObj>
        <w:docPartGallery w:val="Page Numbers (Bottom of Page)"/>
        <w:docPartUnique/>
      </w:docPartObj>
    </w:sdtPr>
    <w:sdtEndPr/>
    <w:sdtContent>
      <w:p w14:paraId="4E3B2C67" w14:textId="77777777" w:rsidR="00E002F6" w:rsidRDefault="00E002F6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80C">
          <w:rPr>
            <w:noProof/>
          </w:rPr>
          <w:t>1</w:t>
        </w:r>
        <w:r>
          <w:fldChar w:fldCharType="end"/>
        </w:r>
      </w:p>
    </w:sdtContent>
  </w:sdt>
  <w:p w14:paraId="4F234DA6" w14:textId="77777777" w:rsidR="00E002F6" w:rsidRDefault="00E002F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19C9B9" w14:textId="77777777" w:rsidR="008E78B1" w:rsidRDefault="008E78B1" w:rsidP="00E002F6">
      <w:r>
        <w:separator/>
      </w:r>
    </w:p>
  </w:footnote>
  <w:footnote w:type="continuationSeparator" w:id="0">
    <w:p w14:paraId="72F6C272" w14:textId="77777777" w:rsidR="008E78B1" w:rsidRDefault="008E78B1" w:rsidP="00E002F6">
      <w:r>
        <w:continuationSeparator/>
      </w:r>
    </w:p>
  </w:footnote>
  <w:footnote w:id="1">
    <w:p w14:paraId="0EC23C9A" w14:textId="77777777" w:rsidR="00E002F6" w:rsidRPr="00173765" w:rsidRDefault="00E002F6" w:rsidP="00E002F6">
      <w:pPr>
        <w:pStyle w:val="llb"/>
        <w:rPr>
          <w:rFonts w:ascii="Tahoma" w:hAnsi="Tahoma" w:cs="Tahoma"/>
          <w:color w:val="000000"/>
          <w:sz w:val="20"/>
          <w:szCs w:val="20"/>
        </w:rPr>
      </w:pPr>
      <w:r>
        <w:rPr>
          <w:rStyle w:val="Lbjegyzet-hivatkozs"/>
        </w:rPr>
        <w:footnoteRef/>
      </w:r>
      <w:r>
        <w:t xml:space="preserve"> </w:t>
      </w:r>
      <w:r w:rsidRPr="00173765">
        <w:rPr>
          <w:rFonts w:ascii="Tahoma" w:hAnsi="Tahoma" w:cs="Tahoma"/>
          <w:color w:val="000000"/>
          <w:sz w:val="20"/>
          <w:szCs w:val="20"/>
        </w:rPr>
        <w:t xml:space="preserve">Források: </w:t>
      </w:r>
      <w:hyperlink r:id="rId1" w:history="1">
        <w:r w:rsidRPr="00173765">
          <w:rPr>
            <w:rFonts w:ascii="Tahoma" w:hAnsi="Tahoma" w:cs="Tahoma"/>
            <w:sz w:val="20"/>
            <w:szCs w:val="20"/>
          </w:rPr>
          <w:t>https://www.oc.hu/ingatlanpiac/hirek/elemzesek</w:t>
        </w:r>
      </w:hyperlink>
      <w:r w:rsidRPr="00173765">
        <w:rPr>
          <w:rFonts w:ascii="Tahoma" w:hAnsi="Tahoma" w:cs="Tahoma"/>
          <w:color w:val="000000"/>
          <w:sz w:val="20"/>
          <w:szCs w:val="20"/>
        </w:rPr>
        <w:t xml:space="preserve">, </w:t>
      </w:r>
      <w:hyperlink r:id="rId2" w:history="1">
        <w:r w:rsidRPr="00173765">
          <w:rPr>
            <w:rFonts w:ascii="Tahoma" w:hAnsi="Tahoma" w:cs="Tahoma"/>
            <w:sz w:val="20"/>
            <w:szCs w:val="20"/>
          </w:rPr>
          <w:t>https://www.mnb.hu/kiadvanyok/jelentesek/lakaspiaci-jelentes</w:t>
        </w:r>
      </w:hyperlink>
      <w:r w:rsidRPr="00173765">
        <w:rPr>
          <w:rFonts w:ascii="Tahoma" w:hAnsi="Tahoma" w:cs="Tahoma"/>
          <w:color w:val="000000"/>
          <w:sz w:val="20"/>
          <w:szCs w:val="20"/>
        </w:rPr>
        <w:t>,</w:t>
      </w:r>
    </w:p>
    <w:p w14:paraId="4C9BA0E8" w14:textId="77777777" w:rsidR="00E002F6" w:rsidRPr="00173765" w:rsidRDefault="00E002F6" w:rsidP="00E002F6">
      <w:pPr>
        <w:pStyle w:val="llb"/>
        <w:rPr>
          <w:rFonts w:ascii="Tahoma" w:hAnsi="Tahoma" w:cs="Tahoma"/>
          <w:color w:val="000000"/>
          <w:sz w:val="20"/>
          <w:szCs w:val="20"/>
        </w:rPr>
      </w:pPr>
      <w:r w:rsidRPr="00173765">
        <w:rPr>
          <w:rFonts w:ascii="Tahoma" w:hAnsi="Tahoma" w:cs="Tahoma"/>
          <w:color w:val="000000"/>
          <w:sz w:val="20"/>
          <w:szCs w:val="20"/>
        </w:rPr>
        <w:t>https://www.ksh.hu</w:t>
      </w:r>
    </w:p>
    <w:p w14:paraId="0978D0A2" w14:textId="77777777" w:rsidR="00E002F6" w:rsidRDefault="00E002F6" w:rsidP="00E002F6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9634B"/>
    <w:multiLevelType w:val="multilevel"/>
    <w:tmpl w:val="E5163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556407"/>
    <w:multiLevelType w:val="hybridMultilevel"/>
    <w:tmpl w:val="C136C2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D0B02"/>
    <w:multiLevelType w:val="multilevel"/>
    <w:tmpl w:val="FBE87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C46444"/>
    <w:multiLevelType w:val="hybridMultilevel"/>
    <w:tmpl w:val="D5EA0F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26974"/>
    <w:multiLevelType w:val="hybridMultilevel"/>
    <w:tmpl w:val="A7002782"/>
    <w:lvl w:ilvl="0" w:tplc="97841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B6A79"/>
    <w:multiLevelType w:val="hybridMultilevel"/>
    <w:tmpl w:val="5126B268"/>
    <w:lvl w:ilvl="0" w:tplc="D3FC1C1A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24E96"/>
    <w:multiLevelType w:val="hybridMultilevel"/>
    <w:tmpl w:val="324A9F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C75652"/>
    <w:multiLevelType w:val="hybridMultilevel"/>
    <w:tmpl w:val="88EE8C6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1E3C95"/>
    <w:multiLevelType w:val="hybridMultilevel"/>
    <w:tmpl w:val="674C657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5D18C3"/>
    <w:multiLevelType w:val="hybridMultilevel"/>
    <w:tmpl w:val="5FB035C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2202F"/>
    <w:multiLevelType w:val="hybridMultilevel"/>
    <w:tmpl w:val="50DEAB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33330"/>
    <w:multiLevelType w:val="hybridMultilevel"/>
    <w:tmpl w:val="8E1400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C03A0"/>
    <w:multiLevelType w:val="multilevel"/>
    <w:tmpl w:val="5DAE4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D1251FA"/>
    <w:multiLevelType w:val="hybridMultilevel"/>
    <w:tmpl w:val="604C9F4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80EFF4">
      <w:start w:val="1"/>
      <w:numFmt w:val="decimal"/>
      <w:lvlText w:val="%2."/>
      <w:lvlJc w:val="left"/>
      <w:pPr>
        <w:ind w:left="1440" w:hanging="360"/>
      </w:pPr>
      <w:rPr>
        <w:rFonts w:hint="default"/>
        <w:i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4C79BC"/>
    <w:multiLevelType w:val="hybridMultilevel"/>
    <w:tmpl w:val="1EACF3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E5810"/>
    <w:multiLevelType w:val="hybridMultilevel"/>
    <w:tmpl w:val="3774E8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F85069"/>
    <w:multiLevelType w:val="hybridMultilevel"/>
    <w:tmpl w:val="1492891E"/>
    <w:lvl w:ilvl="0" w:tplc="97841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783A23"/>
    <w:multiLevelType w:val="hybridMultilevel"/>
    <w:tmpl w:val="28F83F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7365E5"/>
    <w:multiLevelType w:val="hybridMultilevel"/>
    <w:tmpl w:val="08FE4D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F97666"/>
    <w:multiLevelType w:val="hybridMultilevel"/>
    <w:tmpl w:val="0DF26708"/>
    <w:lvl w:ilvl="0" w:tplc="97841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EC6689"/>
    <w:multiLevelType w:val="hybridMultilevel"/>
    <w:tmpl w:val="CA9E8B10"/>
    <w:lvl w:ilvl="0" w:tplc="4BC08672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8B45394"/>
    <w:multiLevelType w:val="hybridMultilevel"/>
    <w:tmpl w:val="3118EF0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83135B"/>
    <w:multiLevelType w:val="hybridMultilevel"/>
    <w:tmpl w:val="6F244C34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10844"/>
    <w:multiLevelType w:val="hybridMultilevel"/>
    <w:tmpl w:val="08FE4D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150E85"/>
    <w:multiLevelType w:val="hybridMultilevel"/>
    <w:tmpl w:val="674C657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307923"/>
    <w:multiLevelType w:val="hybridMultilevel"/>
    <w:tmpl w:val="2C200D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027340"/>
    <w:multiLevelType w:val="hybridMultilevel"/>
    <w:tmpl w:val="4726E9AA"/>
    <w:lvl w:ilvl="0" w:tplc="6D4C8E82">
      <w:start w:val="1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3E5CAE"/>
    <w:multiLevelType w:val="hybridMultilevel"/>
    <w:tmpl w:val="63E6FEA4"/>
    <w:lvl w:ilvl="0" w:tplc="05200DB6">
      <w:start w:val="3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262810"/>
    <w:multiLevelType w:val="hybridMultilevel"/>
    <w:tmpl w:val="355091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435044"/>
    <w:multiLevelType w:val="multilevel"/>
    <w:tmpl w:val="ECB69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CB55A7B"/>
    <w:multiLevelType w:val="hybridMultilevel"/>
    <w:tmpl w:val="E23CAF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BA4E06"/>
    <w:multiLevelType w:val="hybridMultilevel"/>
    <w:tmpl w:val="EE6658C2"/>
    <w:lvl w:ilvl="0" w:tplc="4B80EFF4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F54D8"/>
    <w:multiLevelType w:val="singleLevel"/>
    <w:tmpl w:val="6D4C8E8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3" w15:restartNumberingAfterBreak="0">
    <w:nsid w:val="67CF3391"/>
    <w:multiLevelType w:val="hybridMultilevel"/>
    <w:tmpl w:val="4C2CB948"/>
    <w:lvl w:ilvl="0" w:tplc="F46C6306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C36C62"/>
    <w:multiLevelType w:val="singleLevel"/>
    <w:tmpl w:val="6D4C8E8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 w15:restartNumberingAfterBreak="0">
    <w:nsid w:val="6D651B7E"/>
    <w:multiLevelType w:val="hybridMultilevel"/>
    <w:tmpl w:val="FAD2E690"/>
    <w:lvl w:ilvl="0" w:tplc="E426045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4B58F5"/>
    <w:multiLevelType w:val="hybridMultilevel"/>
    <w:tmpl w:val="80B29488"/>
    <w:lvl w:ilvl="0" w:tplc="BE0C7FD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4F39DD"/>
    <w:multiLevelType w:val="hybridMultilevel"/>
    <w:tmpl w:val="08FE4D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8E2612"/>
    <w:multiLevelType w:val="hybridMultilevel"/>
    <w:tmpl w:val="726644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88355C"/>
    <w:multiLevelType w:val="hybridMultilevel"/>
    <w:tmpl w:val="B6FEDD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B55B9C"/>
    <w:multiLevelType w:val="hybridMultilevel"/>
    <w:tmpl w:val="66B23B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4"/>
  </w:num>
  <w:num w:numId="3">
    <w:abstractNumId w:val="15"/>
  </w:num>
  <w:num w:numId="4">
    <w:abstractNumId w:val="9"/>
  </w:num>
  <w:num w:numId="5">
    <w:abstractNumId w:val="7"/>
  </w:num>
  <w:num w:numId="6">
    <w:abstractNumId w:val="21"/>
  </w:num>
  <w:num w:numId="7">
    <w:abstractNumId w:val="38"/>
  </w:num>
  <w:num w:numId="8">
    <w:abstractNumId w:val="31"/>
  </w:num>
  <w:num w:numId="9">
    <w:abstractNumId w:val="34"/>
  </w:num>
  <w:num w:numId="10">
    <w:abstractNumId w:val="32"/>
  </w:num>
  <w:num w:numId="11">
    <w:abstractNumId w:val="17"/>
  </w:num>
  <w:num w:numId="12">
    <w:abstractNumId w:val="30"/>
  </w:num>
  <w:num w:numId="13">
    <w:abstractNumId w:val="39"/>
  </w:num>
  <w:num w:numId="14">
    <w:abstractNumId w:val="6"/>
  </w:num>
  <w:num w:numId="15">
    <w:abstractNumId w:val="28"/>
  </w:num>
  <w:num w:numId="16">
    <w:abstractNumId w:val="20"/>
  </w:num>
  <w:num w:numId="17">
    <w:abstractNumId w:val="1"/>
  </w:num>
  <w:num w:numId="18">
    <w:abstractNumId w:val="10"/>
  </w:num>
  <w:num w:numId="19">
    <w:abstractNumId w:val="16"/>
  </w:num>
  <w:num w:numId="20">
    <w:abstractNumId w:val="25"/>
  </w:num>
  <w:num w:numId="21">
    <w:abstractNumId w:val="40"/>
  </w:num>
  <w:num w:numId="22">
    <w:abstractNumId w:val="14"/>
  </w:num>
  <w:num w:numId="23">
    <w:abstractNumId w:val="8"/>
  </w:num>
  <w:num w:numId="24">
    <w:abstractNumId w:val="22"/>
  </w:num>
  <w:num w:numId="25">
    <w:abstractNumId w:val="19"/>
  </w:num>
  <w:num w:numId="26">
    <w:abstractNumId w:val="4"/>
  </w:num>
  <w:num w:numId="27">
    <w:abstractNumId w:val="27"/>
  </w:num>
  <w:num w:numId="28">
    <w:abstractNumId w:val="2"/>
  </w:num>
  <w:num w:numId="29">
    <w:abstractNumId w:val="29"/>
  </w:num>
  <w:num w:numId="30">
    <w:abstractNumId w:val="0"/>
  </w:num>
  <w:num w:numId="31">
    <w:abstractNumId w:val="12"/>
  </w:num>
  <w:num w:numId="32">
    <w:abstractNumId w:val="26"/>
  </w:num>
  <w:num w:numId="33">
    <w:abstractNumId w:val="33"/>
  </w:num>
  <w:num w:numId="34">
    <w:abstractNumId w:val="35"/>
  </w:num>
  <w:num w:numId="35">
    <w:abstractNumId w:val="5"/>
  </w:num>
  <w:num w:numId="36">
    <w:abstractNumId w:val="36"/>
  </w:num>
  <w:num w:numId="37">
    <w:abstractNumId w:val="18"/>
  </w:num>
  <w:num w:numId="38">
    <w:abstractNumId w:val="23"/>
  </w:num>
  <w:num w:numId="39">
    <w:abstractNumId w:val="37"/>
  </w:num>
  <w:num w:numId="40">
    <w:abstractNumId w:val="3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2F6"/>
    <w:rsid w:val="00003B36"/>
    <w:rsid w:val="00036C41"/>
    <w:rsid w:val="000600A0"/>
    <w:rsid w:val="00081636"/>
    <w:rsid w:val="000848ED"/>
    <w:rsid w:val="000A389D"/>
    <w:rsid w:val="00114555"/>
    <w:rsid w:val="00134A57"/>
    <w:rsid w:val="00181099"/>
    <w:rsid w:val="001A0C06"/>
    <w:rsid w:val="001B232B"/>
    <w:rsid w:val="001C7835"/>
    <w:rsid w:val="001E223F"/>
    <w:rsid w:val="001F394E"/>
    <w:rsid w:val="001F396C"/>
    <w:rsid w:val="00217E1D"/>
    <w:rsid w:val="00232786"/>
    <w:rsid w:val="00233093"/>
    <w:rsid w:val="002433EB"/>
    <w:rsid w:val="002546BB"/>
    <w:rsid w:val="002719CA"/>
    <w:rsid w:val="00273CD2"/>
    <w:rsid w:val="00282F9E"/>
    <w:rsid w:val="002960C6"/>
    <w:rsid w:val="002B0C85"/>
    <w:rsid w:val="002B5F05"/>
    <w:rsid w:val="002D2727"/>
    <w:rsid w:val="002E3A8B"/>
    <w:rsid w:val="002E6377"/>
    <w:rsid w:val="002E6E55"/>
    <w:rsid w:val="002E7FB3"/>
    <w:rsid w:val="00314332"/>
    <w:rsid w:val="00321B0D"/>
    <w:rsid w:val="003656B7"/>
    <w:rsid w:val="0037706E"/>
    <w:rsid w:val="003825D7"/>
    <w:rsid w:val="00393FC5"/>
    <w:rsid w:val="003B64AB"/>
    <w:rsid w:val="003B7FC2"/>
    <w:rsid w:val="003C0D04"/>
    <w:rsid w:val="003D23EB"/>
    <w:rsid w:val="003F64B3"/>
    <w:rsid w:val="00411834"/>
    <w:rsid w:val="0042457A"/>
    <w:rsid w:val="00433353"/>
    <w:rsid w:val="00446839"/>
    <w:rsid w:val="00450DEA"/>
    <w:rsid w:val="0045618F"/>
    <w:rsid w:val="004619D5"/>
    <w:rsid w:val="004770EA"/>
    <w:rsid w:val="00480773"/>
    <w:rsid w:val="00484270"/>
    <w:rsid w:val="004A1E16"/>
    <w:rsid w:val="004B4902"/>
    <w:rsid w:val="004B5374"/>
    <w:rsid w:val="004B572C"/>
    <w:rsid w:val="004C24FA"/>
    <w:rsid w:val="004F0E4E"/>
    <w:rsid w:val="004F5F86"/>
    <w:rsid w:val="004F79A4"/>
    <w:rsid w:val="005052F9"/>
    <w:rsid w:val="0051613F"/>
    <w:rsid w:val="005819E0"/>
    <w:rsid w:val="005A4A8F"/>
    <w:rsid w:val="005B0772"/>
    <w:rsid w:val="005D586C"/>
    <w:rsid w:val="005E23C0"/>
    <w:rsid w:val="00601289"/>
    <w:rsid w:val="0061180F"/>
    <w:rsid w:val="00612651"/>
    <w:rsid w:val="00615393"/>
    <w:rsid w:val="0061760D"/>
    <w:rsid w:val="00623BD0"/>
    <w:rsid w:val="00624B3D"/>
    <w:rsid w:val="006366BA"/>
    <w:rsid w:val="006459B5"/>
    <w:rsid w:val="00647012"/>
    <w:rsid w:val="006614D9"/>
    <w:rsid w:val="0067137E"/>
    <w:rsid w:val="0069073A"/>
    <w:rsid w:val="006B6467"/>
    <w:rsid w:val="006B6E9B"/>
    <w:rsid w:val="006C47BA"/>
    <w:rsid w:val="00701524"/>
    <w:rsid w:val="00716986"/>
    <w:rsid w:val="0071773D"/>
    <w:rsid w:val="007209DF"/>
    <w:rsid w:val="00753A98"/>
    <w:rsid w:val="0076137D"/>
    <w:rsid w:val="00770829"/>
    <w:rsid w:val="007818A9"/>
    <w:rsid w:val="0078218C"/>
    <w:rsid w:val="00787844"/>
    <w:rsid w:val="007A6B09"/>
    <w:rsid w:val="007B6FE5"/>
    <w:rsid w:val="007F500F"/>
    <w:rsid w:val="008027B3"/>
    <w:rsid w:val="0081086B"/>
    <w:rsid w:val="00812848"/>
    <w:rsid w:val="00814C39"/>
    <w:rsid w:val="00817EE1"/>
    <w:rsid w:val="008250CA"/>
    <w:rsid w:val="00834451"/>
    <w:rsid w:val="008475DD"/>
    <w:rsid w:val="00863D0B"/>
    <w:rsid w:val="00887A51"/>
    <w:rsid w:val="00891EB2"/>
    <w:rsid w:val="008949FE"/>
    <w:rsid w:val="008A3633"/>
    <w:rsid w:val="008A5302"/>
    <w:rsid w:val="008B0234"/>
    <w:rsid w:val="008C370B"/>
    <w:rsid w:val="008D3ED8"/>
    <w:rsid w:val="008E78B1"/>
    <w:rsid w:val="008F35C4"/>
    <w:rsid w:val="00902CAB"/>
    <w:rsid w:val="00914104"/>
    <w:rsid w:val="0093404E"/>
    <w:rsid w:val="00962A26"/>
    <w:rsid w:val="00976770"/>
    <w:rsid w:val="009D7BB2"/>
    <w:rsid w:val="00A0080C"/>
    <w:rsid w:val="00A03439"/>
    <w:rsid w:val="00A07063"/>
    <w:rsid w:val="00A5041E"/>
    <w:rsid w:val="00A53CFB"/>
    <w:rsid w:val="00A661EF"/>
    <w:rsid w:val="00A723C9"/>
    <w:rsid w:val="00A72DCA"/>
    <w:rsid w:val="00A9339A"/>
    <w:rsid w:val="00AB7469"/>
    <w:rsid w:val="00AE30D7"/>
    <w:rsid w:val="00AE3BAF"/>
    <w:rsid w:val="00AE4A74"/>
    <w:rsid w:val="00AE4C28"/>
    <w:rsid w:val="00B003BC"/>
    <w:rsid w:val="00B05B03"/>
    <w:rsid w:val="00B276CB"/>
    <w:rsid w:val="00B6123A"/>
    <w:rsid w:val="00B62801"/>
    <w:rsid w:val="00B70B30"/>
    <w:rsid w:val="00B81517"/>
    <w:rsid w:val="00B85282"/>
    <w:rsid w:val="00B868CF"/>
    <w:rsid w:val="00B97BBF"/>
    <w:rsid w:val="00BA6D32"/>
    <w:rsid w:val="00BB62E3"/>
    <w:rsid w:val="00C7345A"/>
    <w:rsid w:val="00C82EFD"/>
    <w:rsid w:val="00CA29AB"/>
    <w:rsid w:val="00CC074F"/>
    <w:rsid w:val="00CF623C"/>
    <w:rsid w:val="00D03C3C"/>
    <w:rsid w:val="00D167DA"/>
    <w:rsid w:val="00D26CBF"/>
    <w:rsid w:val="00D54683"/>
    <w:rsid w:val="00D54EB0"/>
    <w:rsid w:val="00D67D59"/>
    <w:rsid w:val="00D8101B"/>
    <w:rsid w:val="00DB46E0"/>
    <w:rsid w:val="00DC09E1"/>
    <w:rsid w:val="00DF6B40"/>
    <w:rsid w:val="00E002F6"/>
    <w:rsid w:val="00E20635"/>
    <w:rsid w:val="00E50615"/>
    <w:rsid w:val="00E57DD7"/>
    <w:rsid w:val="00E6642D"/>
    <w:rsid w:val="00E97D55"/>
    <w:rsid w:val="00EB2622"/>
    <w:rsid w:val="00EB3DB8"/>
    <w:rsid w:val="00EB6635"/>
    <w:rsid w:val="00EC3C46"/>
    <w:rsid w:val="00EF0F55"/>
    <w:rsid w:val="00EF1913"/>
    <w:rsid w:val="00EF3692"/>
    <w:rsid w:val="00F067AF"/>
    <w:rsid w:val="00F1304B"/>
    <w:rsid w:val="00F20248"/>
    <w:rsid w:val="00F22AE8"/>
    <w:rsid w:val="00F231B5"/>
    <w:rsid w:val="00F23CC0"/>
    <w:rsid w:val="00F24F59"/>
    <w:rsid w:val="00F358AF"/>
    <w:rsid w:val="00F36464"/>
    <w:rsid w:val="00F46C6C"/>
    <w:rsid w:val="00F50111"/>
    <w:rsid w:val="00F511CF"/>
    <w:rsid w:val="00F5561F"/>
    <w:rsid w:val="00F55791"/>
    <w:rsid w:val="00F55B08"/>
    <w:rsid w:val="00F92024"/>
    <w:rsid w:val="00F95EFF"/>
    <w:rsid w:val="00FC0D64"/>
    <w:rsid w:val="00FC71A4"/>
    <w:rsid w:val="00FD2039"/>
    <w:rsid w:val="00FD46FB"/>
    <w:rsid w:val="00FD75BB"/>
    <w:rsid w:val="00FE713E"/>
    <w:rsid w:val="00FF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F4998"/>
  <w15:chartTrackingRefBased/>
  <w15:docId w15:val="{DC6B84BA-F90A-464F-AB33-933A486A1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00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E002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141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002F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002F6"/>
    <w:rPr>
      <w:rFonts w:ascii="Cambria" w:eastAsia="Times New Roman" w:hAnsi="Cambria" w:cs="Times New Roman"/>
      <w:b/>
      <w:bCs/>
      <w:kern w:val="32"/>
      <w:sz w:val="32"/>
      <w:szCs w:val="32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002F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E002F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002F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E002F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002F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rsid w:val="00E002F6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E002F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rsid w:val="00E002F6"/>
    <w:rPr>
      <w:vertAlign w:val="superscript"/>
    </w:rPr>
  </w:style>
  <w:style w:type="paragraph" w:styleId="Szvegtrzs">
    <w:name w:val="Body Text"/>
    <w:basedOn w:val="Norml"/>
    <w:link w:val="SzvegtrzsChar"/>
    <w:rsid w:val="00E002F6"/>
    <w:pPr>
      <w:jc w:val="both"/>
    </w:pPr>
    <w:rPr>
      <w:sz w:val="26"/>
      <w:szCs w:val="20"/>
    </w:rPr>
  </w:style>
  <w:style w:type="character" w:customStyle="1" w:styleId="SzvegtrzsChar">
    <w:name w:val="Szövegtörzs Char"/>
    <w:basedOn w:val="Bekezdsalapbettpusa"/>
    <w:link w:val="Szvegtrzs"/>
    <w:rsid w:val="00E002F6"/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styleId="Jegyzethivatkozs">
    <w:name w:val="annotation reference"/>
    <w:uiPriority w:val="99"/>
    <w:semiHidden/>
    <w:rsid w:val="00E002F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E002F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002F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E002F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002F6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E002F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002F6"/>
    <w:rPr>
      <w:rFonts w:ascii="Tahoma" w:eastAsia="Times New Roman" w:hAnsi="Tahoma" w:cs="Tahoma"/>
      <w:sz w:val="16"/>
      <w:szCs w:val="16"/>
      <w:lang w:eastAsia="hu-HU"/>
    </w:rPr>
  </w:style>
  <w:style w:type="character" w:styleId="Kiemels">
    <w:name w:val="Emphasis"/>
    <w:uiPriority w:val="20"/>
    <w:qFormat/>
    <w:rsid w:val="00E002F6"/>
    <w:rPr>
      <w:i/>
      <w:iCs/>
    </w:rPr>
  </w:style>
  <w:style w:type="paragraph" w:styleId="Listaszerbekezds">
    <w:name w:val="List Paragraph"/>
    <w:basedOn w:val="Norml"/>
    <w:uiPriority w:val="34"/>
    <w:qFormat/>
    <w:rsid w:val="00E002F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m">
    <w:name w:val="Title"/>
    <w:basedOn w:val="Norml"/>
    <w:next w:val="Norml"/>
    <w:link w:val="CmChar"/>
    <w:qFormat/>
    <w:rsid w:val="00E002F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rsid w:val="00E002F6"/>
    <w:rPr>
      <w:rFonts w:ascii="Cambria" w:eastAsia="Times New Roman" w:hAnsi="Cambria" w:cs="Times New Roman"/>
      <w:b/>
      <w:bCs/>
      <w:kern w:val="28"/>
      <w:sz w:val="32"/>
      <w:szCs w:val="32"/>
      <w:lang w:eastAsia="hu-HU"/>
    </w:rPr>
  </w:style>
  <w:style w:type="paragraph" w:styleId="Alcm">
    <w:name w:val="Subtitle"/>
    <w:basedOn w:val="Norml"/>
    <w:next w:val="Norml"/>
    <w:link w:val="AlcmChar"/>
    <w:qFormat/>
    <w:rsid w:val="00E002F6"/>
    <w:pPr>
      <w:spacing w:after="60"/>
      <w:jc w:val="center"/>
      <w:outlineLvl w:val="1"/>
    </w:pPr>
    <w:rPr>
      <w:rFonts w:ascii="Tahoma" w:hAnsi="Tahoma"/>
      <w:sz w:val="28"/>
    </w:rPr>
  </w:style>
  <w:style w:type="character" w:customStyle="1" w:styleId="AlcmChar">
    <w:name w:val="Alcím Char"/>
    <w:basedOn w:val="Bekezdsalapbettpusa"/>
    <w:link w:val="Alcm"/>
    <w:rsid w:val="00E002F6"/>
    <w:rPr>
      <w:rFonts w:ascii="Tahoma" w:eastAsia="Times New Roman" w:hAnsi="Tahoma" w:cs="Times New Roman"/>
      <w:sz w:val="28"/>
      <w:szCs w:val="24"/>
      <w:lang w:eastAsia="hu-HU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E002F6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TJ1">
    <w:name w:val="toc 1"/>
    <w:basedOn w:val="Norml"/>
    <w:next w:val="Norml"/>
    <w:autoRedefine/>
    <w:uiPriority w:val="39"/>
    <w:rsid w:val="00E002F6"/>
  </w:style>
  <w:style w:type="paragraph" w:styleId="TJ2">
    <w:name w:val="toc 2"/>
    <w:basedOn w:val="Norml"/>
    <w:next w:val="Norml"/>
    <w:autoRedefine/>
    <w:uiPriority w:val="39"/>
    <w:rsid w:val="00E002F6"/>
    <w:pPr>
      <w:tabs>
        <w:tab w:val="right" w:leader="dot" w:pos="9396"/>
      </w:tabs>
      <w:spacing w:line="360" w:lineRule="auto"/>
      <w:ind w:left="238"/>
    </w:pPr>
  </w:style>
  <w:style w:type="character" w:styleId="Hiperhivatkozs">
    <w:name w:val="Hyperlink"/>
    <w:uiPriority w:val="99"/>
    <w:unhideWhenUsed/>
    <w:rsid w:val="00E002F6"/>
    <w:rPr>
      <w:color w:val="0000FF"/>
      <w:u w:val="single"/>
    </w:rPr>
  </w:style>
  <w:style w:type="paragraph" w:styleId="Vltozat">
    <w:name w:val="Revision"/>
    <w:hidden/>
    <w:uiPriority w:val="99"/>
    <w:semiHidden/>
    <w:rsid w:val="00E00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E002F6"/>
  </w:style>
  <w:style w:type="table" w:styleId="Rcsostblzat">
    <w:name w:val="Table Grid"/>
    <w:basedOn w:val="Normltblzat"/>
    <w:uiPriority w:val="39"/>
    <w:rsid w:val="00E002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E002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E002F6"/>
    <w:pPr>
      <w:spacing w:before="100" w:beforeAutospacing="1" w:after="100" w:afterAutospacing="1"/>
    </w:pPr>
  </w:style>
  <w:style w:type="character" w:customStyle="1" w:styleId="Feloldatlanmegemlts1">
    <w:name w:val="Feloldatlan megemlítés1"/>
    <w:uiPriority w:val="99"/>
    <w:semiHidden/>
    <w:unhideWhenUsed/>
    <w:rsid w:val="00E002F6"/>
    <w:rPr>
      <w:color w:val="605E5C"/>
      <w:shd w:val="clear" w:color="auto" w:fill="E1DFDD"/>
    </w:rPr>
  </w:style>
  <w:style w:type="character" w:styleId="Kiemels2">
    <w:name w:val="Strong"/>
    <w:basedOn w:val="Bekezdsalapbettpusa"/>
    <w:uiPriority w:val="22"/>
    <w:qFormat/>
    <w:rsid w:val="00E002F6"/>
    <w:rPr>
      <w:b/>
      <w:bCs/>
    </w:rPr>
  </w:style>
  <w:style w:type="table" w:customStyle="1" w:styleId="Tblzatrcsos5stt6jellszn1">
    <w:name w:val="Táblázat (rácsos) 5 – sötét – 6. jelölőszín1"/>
    <w:basedOn w:val="Normltblzat"/>
    <w:uiPriority w:val="50"/>
    <w:rsid w:val="00E002F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character" w:customStyle="1" w:styleId="Cmsor2Char">
    <w:name w:val="Címsor 2 Char"/>
    <w:basedOn w:val="Bekezdsalapbettpusa"/>
    <w:link w:val="Cmsor2"/>
    <w:uiPriority w:val="9"/>
    <w:semiHidden/>
    <w:rsid w:val="0091410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hu-HU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B97B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hart" Target="charts/chart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mnb.hu/kiadvanyok/jelentesek/lakaspiaci-jelentes" TargetMode="External"/><Relationship Id="rId1" Type="http://schemas.openxmlformats.org/officeDocument/2006/relationships/hyperlink" Target="https://www.oc.hu/ingatlanpiac/hirek/elemzesek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olti.zsuzsanna\Desktop\&#233;rt&#233;kes&#237;t&#233;s_t&#225;bl&#225;zat_2025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Ingatlanértékesítás e (Ft)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Munka1!$B$11</c:f>
              <c:strCache>
                <c:ptCount val="1"/>
                <c:pt idx="0">
                  <c:v>Terv 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Munka1!$A$12:$A$16</c:f>
              <c:numCache>
                <c:formatCode>General</c:formatCod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Munka1!$B$12:$B$16</c:f>
              <c:numCache>
                <c:formatCode>#,##0</c:formatCode>
                <c:ptCount val="5"/>
                <c:pt idx="0">
                  <c:v>190000</c:v>
                </c:pt>
                <c:pt idx="1">
                  <c:v>920000</c:v>
                </c:pt>
                <c:pt idx="2">
                  <c:v>427000</c:v>
                </c:pt>
                <c:pt idx="3">
                  <c:v>750000</c:v>
                </c:pt>
                <c:pt idx="4">
                  <c:v>411300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5849-4653-99E6-28B5A4BBFEE5}"/>
            </c:ext>
          </c:extLst>
        </c:ser>
        <c:ser>
          <c:idx val="1"/>
          <c:order val="1"/>
          <c:tx>
            <c:strRef>
              <c:f>Munka1!$C$11</c:f>
              <c:strCache>
                <c:ptCount val="1"/>
                <c:pt idx="0">
                  <c:v>Tény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Munka1!$A$12:$A$16</c:f>
              <c:numCache>
                <c:formatCode>General</c:formatCod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Munka1!$C$12:$C$16</c:f>
              <c:numCache>
                <c:formatCode>#,##0</c:formatCode>
                <c:ptCount val="5"/>
                <c:pt idx="0">
                  <c:v>37339</c:v>
                </c:pt>
                <c:pt idx="1">
                  <c:v>848081</c:v>
                </c:pt>
                <c:pt idx="2">
                  <c:v>335724</c:v>
                </c:pt>
                <c:pt idx="3">
                  <c:v>579073</c:v>
                </c:pt>
                <c:pt idx="4">
                  <c:v>76822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5849-4653-99E6-28B5A4BBFEE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22596200"/>
        <c:axId val="293273184"/>
      </c:lineChart>
      <c:catAx>
        <c:axId val="4225962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93273184"/>
        <c:crosses val="autoZero"/>
        <c:auto val="1"/>
        <c:lblAlgn val="ctr"/>
        <c:lblOffset val="100"/>
        <c:noMultiLvlLbl val="0"/>
      </c:catAx>
      <c:valAx>
        <c:axId val="2932731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225962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22</Pages>
  <Words>6438</Words>
  <Characters>44429</Characters>
  <Application>Microsoft Office Word</Application>
  <DocSecurity>0</DocSecurity>
  <Lines>370</Lines>
  <Paragraphs>101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Kicska Andrea</dc:creator>
  <cp:keywords/>
  <dc:description/>
  <cp:lastModifiedBy>Kicska Andrea</cp:lastModifiedBy>
  <cp:revision>126</cp:revision>
  <cp:lastPrinted>2025-11-04T07:55:00Z</cp:lastPrinted>
  <dcterms:created xsi:type="dcterms:W3CDTF">2025-10-27T07:38:00Z</dcterms:created>
  <dcterms:modified xsi:type="dcterms:W3CDTF">2025-11-20T10:12:00Z</dcterms:modified>
</cp:coreProperties>
</file>